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EFA28" w14:textId="1125532E" w:rsidR="00D1191C" w:rsidRPr="00C76002" w:rsidRDefault="00D1191C" w:rsidP="00E15CF2">
      <w:pPr>
        <w:spacing w:line="276" w:lineRule="auto"/>
        <w:jc w:val="both"/>
        <w:rPr>
          <w:b/>
          <w:bCs/>
          <w:color w:val="000000"/>
        </w:rPr>
      </w:pPr>
      <w:r w:rsidRPr="00C76002">
        <w:rPr>
          <w:b/>
          <w:bCs/>
          <w:color w:val="000000"/>
        </w:rPr>
        <w:t>SUPPLEMENTARY MATERIALS: Heterogeneous lithium isotope records across the end-Permian mass extinction as an indicator for a highly perturbed lithium cycle</w:t>
      </w:r>
    </w:p>
    <w:p w14:paraId="63499716" w14:textId="39B52A32" w:rsidR="00445BB6" w:rsidRPr="00A8060E" w:rsidRDefault="00445BB6">
      <w:pPr>
        <w:rPr>
          <w:color w:val="000000"/>
        </w:rPr>
      </w:pPr>
    </w:p>
    <w:p w14:paraId="46B9F5FB" w14:textId="66797F30" w:rsidR="00A8060E" w:rsidRDefault="00A8060E">
      <w:pPr>
        <w:rPr>
          <w:b/>
          <w:bCs/>
          <w:i/>
          <w:iCs/>
          <w:color w:val="000000"/>
        </w:rPr>
      </w:pPr>
      <w:r w:rsidRPr="00A8060E">
        <w:rPr>
          <w:b/>
          <w:bCs/>
          <w:i/>
          <w:iCs/>
          <w:color w:val="000000"/>
        </w:rPr>
        <w:t>Alternative explanations for the siliciclastic</w:t>
      </w:r>
      <w:r w:rsidRPr="00A8060E">
        <w:rPr>
          <w:rFonts w:asciiTheme="majorHAnsi" w:hAnsiTheme="majorHAnsi" w:cstheme="majorHAnsi"/>
          <w:b/>
          <w:bCs/>
          <w:i/>
          <w:iCs/>
          <w:color w:val="000000"/>
        </w:rPr>
        <w:t xml:space="preserve"> </w:t>
      </w:r>
      <w:r w:rsidRPr="00A8060E">
        <w:rPr>
          <w:b/>
          <w:bCs/>
          <w:i/>
          <w:iCs/>
          <w:color w:val="000000"/>
        </w:rPr>
        <w:t>δ</w:t>
      </w:r>
      <w:r w:rsidRPr="00A8060E">
        <w:rPr>
          <w:b/>
          <w:bCs/>
          <w:i/>
          <w:iCs/>
          <w:color w:val="000000"/>
          <w:vertAlign w:val="superscript"/>
        </w:rPr>
        <w:t>7</w:t>
      </w:r>
      <w:r w:rsidRPr="00A8060E">
        <w:rPr>
          <w:b/>
          <w:bCs/>
          <w:i/>
          <w:iCs/>
          <w:color w:val="000000"/>
        </w:rPr>
        <w:t>Li record</w:t>
      </w:r>
    </w:p>
    <w:p w14:paraId="161A0585" w14:textId="77777777" w:rsidR="00A8060E" w:rsidRPr="00A8060E" w:rsidRDefault="00A8060E">
      <w:pPr>
        <w:rPr>
          <w:rFonts w:asciiTheme="majorHAnsi" w:hAnsiTheme="majorHAnsi" w:cstheme="majorHAnsi"/>
          <w:b/>
          <w:bCs/>
          <w:i/>
          <w:iCs/>
          <w:color w:val="000000"/>
        </w:rPr>
      </w:pPr>
    </w:p>
    <w:p w14:paraId="76A8ADFE" w14:textId="5B64D6DF" w:rsidR="00A21B85" w:rsidRDefault="00A21B85" w:rsidP="00A8060E">
      <w:pPr>
        <w:spacing w:line="360" w:lineRule="auto"/>
        <w:ind w:firstLine="720"/>
        <w:jc w:val="both"/>
        <w:rPr>
          <w:color w:val="000000"/>
        </w:rPr>
      </w:pPr>
      <w:r>
        <w:rPr>
          <w:color w:val="000000"/>
        </w:rPr>
        <w:t xml:space="preserve">This study compares new carbonate </w:t>
      </w:r>
      <w:r w:rsidRPr="00EA7994">
        <w:rPr>
          <w:color w:val="000000"/>
        </w:rPr>
        <w:t>δ</w:t>
      </w:r>
      <w:r w:rsidRPr="00EA7994">
        <w:rPr>
          <w:color w:val="000000"/>
          <w:vertAlign w:val="superscript"/>
        </w:rPr>
        <w:t>7</w:t>
      </w:r>
      <w:r w:rsidRPr="00EA7994">
        <w:rPr>
          <w:color w:val="000000"/>
        </w:rPr>
        <w:t>Li</w:t>
      </w:r>
      <w:r>
        <w:rPr>
          <w:color w:val="000000"/>
        </w:rPr>
        <w:t xml:space="preserve"> records with published siliciclastic </w:t>
      </w:r>
      <w:r w:rsidRPr="00EA7994">
        <w:rPr>
          <w:color w:val="000000"/>
        </w:rPr>
        <w:t>δ</w:t>
      </w:r>
      <w:r w:rsidRPr="00EA7994">
        <w:rPr>
          <w:color w:val="000000"/>
          <w:vertAlign w:val="superscript"/>
        </w:rPr>
        <w:t>7</w:t>
      </w:r>
      <w:r w:rsidRPr="00EA7994">
        <w:rPr>
          <w:color w:val="000000"/>
        </w:rPr>
        <w:t>Li</w:t>
      </w:r>
      <w:r>
        <w:rPr>
          <w:color w:val="000000"/>
        </w:rPr>
        <w:t xml:space="preserve"> records from Rauzi et al. (2024). The siliciclastic </w:t>
      </w:r>
      <w:r w:rsidRPr="00EA7994">
        <w:rPr>
          <w:color w:val="000000"/>
        </w:rPr>
        <w:t>δ</w:t>
      </w:r>
      <w:r w:rsidRPr="00EA7994">
        <w:rPr>
          <w:color w:val="000000"/>
          <w:vertAlign w:val="superscript"/>
        </w:rPr>
        <w:t>7</w:t>
      </w:r>
      <w:r w:rsidRPr="00EA7994">
        <w:rPr>
          <w:color w:val="000000"/>
        </w:rPr>
        <w:t>Li</w:t>
      </w:r>
      <w:r>
        <w:rPr>
          <w:color w:val="000000"/>
        </w:rPr>
        <w:t xml:space="preserve"> record and how it is interpreted is described in detail in that study, but we provide further context to consider alternative explanations for those data.</w:t>
      </w:r>
    </w:p>
    <w:p w14:paraId="29362092" w14:textId="78D98695" w:rsidR="00A8060E" w:rsidRPr="00EA7994" w:rsidRDefault="00A8060E" w:rsidP="00A8060E">
      <w:pPr>
        <w:spacing w:line="360" w:lineRule="auto"/>
        <w:ind w:firstLine="720"/>
        <w:jc w:val="both"/>
        <w:rPr>
          <w:b/>
          <w:color w:val="000000" w:themeColor="text1"/>
        </w:rPr>
      </w:pPr>
      <w:r w:rsidRPr="00EA7994">
        <w:rPr>
          <w:color w:val="000000"/>
        </w:rPr>
        <w:t>Other non-silicate material present in siliciclastic sediments (e.g., organic matter, oxide minerals) is not expected to influence the δ</w:t>
      </w:r>
      <w:r w:rsidRPr="00EA7994">
        <w:rPr>
          <w:color w:val="000000"/>
          <w:vertAlign w:val="superscript"/>
        </w:rPr>
        <w:t>7</w:t>
      </w:r>
      <w:r w:rsidRPr="00EA7994">
        <w:rPr>
          <w:color w:val="000000"/>
        </w:rPr>
        <w:t>Li of marine siliciclastic archives due to their low Li content (&lt;3 ppm Li</w:t>
      </w:r>
      <w:r w:rsidR="00A21B85">
        <w:rPr>
          <w:color w:val="000000"/>
        </w:rPr>
        <w:t xml:space="preserve">; </w:t>
      </w:r>
      <w:r w:rsidRPr="00EA7994">
        <w:rPr>
          <w:color w:val="000000"/>
        </w:rPr>
        <w:t xml:space="preserve">e.g., Yang et al., 2023) and relative mass fraction (&lt;5 </w:t>
      </w:r>
      <w:proofErr w:type="spellStart"/>
      <w:r w:rsidRPr="00EA7994">
        <w:rPr>
          <w:color w:val="000000"/>
        </w:rPr>
        <w:t>wt</w:t>
      </w:r>
      <w:proofErr w:type="spellEnd"/>
      <w:r w:rsidRPr="00EA7994">
        <w:rPr>
          <w:color w:val="000000"/>
        </w:rPr>
        <w:t xml:space="preserve">%), relative to Li-rich (10-100’s ppm Li, Pogge von Strandmann et al., 2020), abundant silicate minerals (&gt;85 </w:t>
      </w:r>
      <w:proofErr w:type="spellStart"/>
      <w:r w:rsidRPr="00EA7994">
        <w:rPr>
          <w:color w:val="000000"/>
        </w:rPr>
        <w:t>wt</w:t>
      </w:r>
      <w:proofErr w:type="spellEnd"/>
      <w:r w:rsidRPr="00EA7994">
        <w:rPr>
          <w:color w:val="000000"/>
        </w:rPr>
        <w:t>%).</w:t>
      </w:r>
      <w:r w:rsidRPr="00EA7994">
        <w:rPr>
          <w:color w:val="0070C0"/>
        </w:rPr>
        <w:t xml:space="preserve"> </w:t>
      </w:r>
      <w:r w:rsidRPr="00EA7994">
        <w:rPr>
          <w:color w:val="000000" w:themeColor="text1"/>
        </w:rPr>
        <w:t xml:space="preserve">Specifically, the Li content of </w:t>
      </w:r>
      <w:r w:rsidRPr="00EA7994">
        <w:rPr>
          <w:bCs/>
          <w:iCs/>
          <w:color w:val="000000" w:themeColor="text1"/>
        </w:rPr>
        <w:t>organic material (&lt;1 ppm</w:t>
      </w:r>
      <w:r w:rsidRPr="00EA7994">
        <w:rPr>
          <w:color w:val="000000" w:themeColor="text1"/>
        </w:rPr>
        <w:t xml:space="preserve">; Clergue et al., 2015, Li et al., 2020) </w:t>
      </w:r>
      <w:r w:rsidRPr="00EA7994">
        <w:rPr>
          <w:bCs/>
          <w:iCs/>
          <w:color w:val="000000" w:themeColor="text1"/>
        </w:rPr>
        <w:t>and Fe-Mn oxides (&lt;3 ppm</w:t>
      </w:r>
      <w:r w:rsidRPr="00EA7994">
        <w:rPr>
          <w:color w:val="000000" w:themeColor="text1"/>
        </w:rPr>
        <w:t xml:space="preserve">; Yang et al., 2023, Liu et al., 2022, 2023; Shan et al., 2024) is significantly lower than that of silicate minerals (10-100’s ppm; Pogge von Strandmann et al., 2020). When considering the content of marine siliciclastic sediments, </w:t>
      </w:r>
      <w:r w:rsidRPr="00EA7994">
        <w:rPr>
          <w:bCs/>
          <w:iCs/>
          <w:color w:val="000000" w:themeColor="text1"/>
        </w:rPr>
        <w:t>organic material and oxides comprise &lt;1% and &lt;5% of marine siliciclastic sediments by mass, respectively</w:t>
      </w:r>
      <w:r w:rsidRPr="00EA7994">
        <w:rPr>
          <w:color w:val="000000" w:themeColor="text1"/>
        </w:rPr>
        <w:t xml:space="preserve"> (Yaalon, 1961, Shaw &amp; Weaver, 1965). Using these constraints, </w:t>
      </w:r>
      <w:r w:rsidRPr="00EA7994">
        <w:rPr>
          <w:bCs/>
          <w:color w:val="000000" w:themeColor="text1"/>
        </w:rPr>
        <w:t xml:space="preserve">the maximum Li contribution from organic matter to total Li is &lt;0.01%, and the maximum Li contribution from oxide contribution to total Li is &lt;0.20%. </w:t>
      </w:r>
      <w:r w:rsidRPr="00EA7994">
        <w:rPr>
          <w:color w:val="000000" w:themeColor="text1"/>
        </w:rPr>
        <w:t>Based on this reasoning, we follow previous work (e.g., Pogge von Strandmann et al., 2017, 2021; Wei et al., 2020, 2024; Rauzi et al., 2024) and interpret the Li content and isotope composition of marine siliciclastic sediments as reflecting that of the silicate mineral fraction.</w:t>
      </w:r>
    </w:p>
    <w:p w14:paraId="2550D633" w14:textId="6C555DC5" w:rsidR="00A8060E" w:rsidRPr="00A8060E" w:rsidRDefault="00A8060E" w:rsidP="00A8060E">
      <w:pPr>
        <w:spacing w:line="360" w:lineRule="auto"/>
        <w:ind w:firstLine="720"/>
        <w:jc w:val="both"/>
        <w:rPr>
          <w:color w:val="000000"/>
        </w:rPr>
      </w:pPr>
      <w:r w:rsidRPr="00EA7994">
        <w:rPr>
          <w:color w:val="000000"/>
        </w:rPr>
        <w:t>It is possible that post-lithification alteration could modify the δ</w:t>
      </w:r>
      <w:r w:rsidRPr="00EA7994">
        <w:rPr>
          <w:color w:val="000000"/>
          <w:vertAlign w:val="superscript"/>
        </w:rPr>
        <w:t>7</w:t>
      </w:r>
      <w:r w:rsidRPr="00EA7994">
        <w:rPr>
          <w:color w:val="000000"/>
        </w:rPr>
        <w:t>Li value of siliciclastic records; however, there is not yet any data that would indicate this would result in a</w:t>
      </w:r>
      <w:r>
        <w:rPr>
          <w:color w:val="000000"/>
        </w:rPr>
        <w:t xml:space="preserve"> systematic</w:t>
      </w:r>
      <w:r w:rsidRPr="00EA7994">
        <w:rPr>
          <w:color w:val="000000"/>
        </w:rPr>
        <w:t xml:space="preserve"> positive isotope shift. For example, low-grade metamorphism (schist facies and below) has a negligible effect on the δ</w:t>
      </w:r>
      <w:r w:rsidRPr="00EA7994">
        <w:rPr>
          <w:color w:val="000000"/>
          <w:vertAlign w:val="superscript"/>
        </w:rPr>
        <w:t>7</w:t>
      </w:r>
      <w:r w:rsidRPr="00EA7994">
        <w:rPr>
          <w:color w:val="000000"/>
        </w:rPr>
        <w:t>Li value of marine siliciclastic archives (Penniston-Dorland et al., 2012).</w:t>
      </w:r>
      <w:r w:rsidRPr="00EA7994">
        <w:rPr>
          <w:b/>
          <w:color w:val="0070C0"/>
          <w:sz w:val="22"/>
          <w:szCs w:val="22"/>
        </w:rPr>
        <w:t xml:space="preserve"> </w:t>
      </w:r>
      <w:r w:rsidRPr="00EA7994">
        <w:rPr>
          <w:color w:val="000000"/>
        </w:rPr>
        <w:t>Nonetheless, diagenetic alteration of siliciclastic sediments is important to consider. We also examine the assumption that the siliciclastic δ</w:t>
      </w:r>
      <w:r w:rsidRPr="00EA7994">
        <w:rPr>
          <w:color w:val="000000"/>
          <w:vertAlign w:val="superscript"/>
        </w:rPr>
        <w:t>7</w:t>
      </w:r>
      <w:r w:rsidRPr="00EA7994">
        <w:rPr>
          <w:color w:val="000000"/>
        </w:rPr>
        <w:t>Li values must represent a minimum bound on the fluid δ</w:t>
      </w:r>
      <w:r w:rsidRPr="00EA7994">
        <w:rPr>
          <w:color w:val="000000"/>
          <w:vertAlign w:val="superscript"/>
        </w:rPr>
        <w:t>7</w:t>
      </w:r>
      <w:r w:rsidRPr="00EA7994">
        <w:rPr>
          <w:color w:val="000000"/>
        </w:rPr>
        <w:t>Li value. Experiments indicate that the Li isotopic fractionation between clay minerals and precipitating fluid is always less than or equal to 0‰ (</w:t>
      </w:r>
      <w:proofErr w:type="spellStart"/>
      <w:r w:rsidRPr="00EA7994">
        <w:rPr>
          <w:color w:val="000000"/>
        </w:rPr>
        <w:t>Hindshaw</w:t>
      </w:r>
      <w:proofErr w:type="spellEnd"/>
      <w:r w:rsidRPr="00EA7994">
        <w:rPr>
          <w:color w:val="000000"/>
        </w:rPr>
        <w:t xml:space="preserve"> et al., 2019). This is supported by reactive transport modeling that also suggests that, even at very high clay formation rates, the δ</w:t>
      </w:r>
      <w:r w:rsidRPr="00EA7994">
        <w:rPr>
          <w:color w:val="000000"/>
          <w:vertAlign w:val="superscript"/>
        </w:rPr>
        <w:t>7</w:t>
      </w:r>
      <w:r w:rsidRPr="00EA7994">
        <w:rPr>
          <w:color w:val="000000"/>
        </w:rPr>
        <w:t>Li value of the precipitating clay is less than that of seawater (Li et al., 202</w:t>
      </w:r>
      <w:r w:rsidR="00A21B85">
        <w:rPr>
          <w:color w:val="000000"/>
        </w:rPr>
        <w:t>1</w:t>
      </w:r>
      <w:r w:rsidRPr="00EA7994">
        <w:rPr>
          <w:color w:val="000000"/>
        </w:rPr>
        <w:t xml:space="preserve">). The modeling </w:t>
      </w:r>
      <w:r w:rsidRPr="00EA7994">
        <w:rPr>
          <w:color w:val="000000"/>
        </w:rPr>
        <w:lastRenderedPageBreak/>
        <w:t>results support the hypothesis that during the Precambrian, when the Li reservoir was small, the isotope offset during clay formation approached 0‰ (</w:t>
      </w:r>
      <w:proofErr w:type="spellStart"/>
      <w:r w:rsidRPr="00EA7994">
        <w:rPr>
          <w:color w:val="000000"/>
        </w:rPr>
        <w:t>Kalderon</w:t>
      </w:r>
      <w:proofErr w:type="spellEnd"/>
      <w:r w:rsidRPr="00EA7994">
        <w:rPr>
          <w:color w:val="000000"/>
        </w:rPr>
        <w:t xml:space="preserve">-Asael et al., 2021). </w:t>
      </w:r>
    </w:p>
    <w:p w14:paraId="3583AC5A" w14:textId="6536936D" w:rsidR="00A8060E" w:rsidRPr="00EA7994" w:rsidRDefault="00A8060E" w:rsidP="00A8060E">
      <w:pPr>
        <w:spacing w:line="360" w:lineRule="auto"/>
        <w:ind w:firstLine="720"/>
        <w:jc w:val="both"/>
        <w:rPr>
          <w:color w:val="000000"/>
        </w:rPr>
      </w:pPr>
      <w:r>
        <w:rPr>
          <w:color w:val="000000"/>
        </w:rPr>
        <w:t>C</w:t>
      </w:r>
      <w:r w:rsidRPr="00EA7994">
        <w:rPr>
          <w:color w:val="000000"/>
        </w:rPr>
        <w:t>lays with δ</w:t>
      </w:r>
      <w:r w:rsidRPr="00EA7994">
        <w:rPr>
          <w:color w:val="000000"/>
          <w:vertAlign w:val="superscript"/>
        </w:rPr>
        <w:t>7</w:t>
      </w:r>
      <w:r w:rsidRPr="00EA7994">
        <w:rPr>
          <w:color w:val="000000"/>
        </w:rPr>
        <w:t>Li values higher than the source fluid can form in terrestrial settings. In these cases, weathered bulk regolith and suspended riverine sediments sometimes exhibit δ</w:t>
      </w:r>
      <w:r w:rsidRPr="00EA7994">
        <w:rPr>
          <w:color w:val="000000"/>
          <w:vertAlign w:val="superscript"/>
        </w:rPr>
        <w:t>7</w:t>
      </w:r>
      <w:r w:rsidRPr="00EA7994">
        <w:rPr>
          <w:color w:val="000000"/>
        </w:rPr>
        <w:t>Li values higher than upper continental crust and/or the δ</w:t>
      </w:r>
      <w:r w:rsidRPr="00EA7994">
        <w:rPr>
          <w:color w:val="000000"/>
          <w:vertAlign w:val="superscript"/>
        </w:rPr>
        <w:t>7</w:t>
      </w:r>
      <w:r w:rsidRPr="00EA7994">
        <w:rPr>
          <w:color w:val="000000"/>
        </w:rPr>
        <w:t xml:space="preserve">Li value of the fresh bedrock (Dellinger et al., 2017; </w:t>
      </w:r>
      <w:proofErr w:type="spellStart"/>
      <w:r w:rsidRPr="00EA7994">
        <w:rPr>
          <w:color w:val="000000"/>
        </w:rPr>
        <w:t>Chapela</w:t>
      </w:r>
      <w:proofErr w:type="spellEnd"/>
      <w:r w:rsidRPr="00EA7994">
        <w:rPr>
          <w:color w:val="000000"/>
        </w:rPr>
        <w:t xml:space="preserve"> Lara et al., 2022). This outcome is possible in terrestrial systems that are advection dominated (e.g., </w:t>
      </w:r>
      <w:proofErr w:type="spellStart"/>
      <w:r w:rsidRPr="00EA7994">
        <w:rPr>
          <w:color w:val="000000"/>
        </w:rPr>
        <w:t>Péclet</w:t>
      </w:r>
      <w:proofErr w:type="spellEnd"/>
      <w:r w:rsidRPr="00EA7994">
        <w:rPr>
          <w:color w:val="000000"/>
        </w:rPr>
        <w:t xml:space="preserve"> number &gt;1, where the </w:t>
      </w:r>
      <w:proofErr w:type="spellStart"/>
      <w:r w:rsidRPr="00EA7994">
        <w:rPr>
          <w:color w:val="000000"/>
        </w:rPr>
        <w:t>Péclet</w:t>
      </w:r>
      <w:proofErr w:type="spellEnd"/>
      <w:r w:rsidRPr="00EA7994">
        <w:rPr>
          <w:color w:val="000000"/>
        </w:rPr>
        <w:t xml:space="preserve"> number, Pe = </w:t>
      </w:r>
      <w:proofErr w:type="spellStart"/>
      <w:r w:rsidRPr="00EA7994">
        <w:rPr>
          <w:i/>
          <w:iCs/>
          <w:color w:val="000000"/>
        </w:rPr>
        <w:t>uL</w:t>
      </w:r>
      <w:proofErr w:type="spellEnd"/>
      <w:r w:rsidRPr="00EA7994">
        <w:rPr>
          <w:color w:val="000000"/>
        </w:rPr>
        <w:t>/</w:t>
      </w:r>
      <w:r w:rsidRPr="00EA7994">
        <w:rPr>
          <w:i/>
          <w:iCs/>
          <w:color w:val="000000"/>
        </w:rPr>
        <w:t>Ds</w:t>
      </w:r>
      <w:r w:rsidRPr="00EA7994">
        <w:rPr>
          <w:color w:val="000000"/>
        </w:rPr>
        <w:t xml:space="preserve"> and </w:t>
      </w:r>
      <w:r w:rsidRPr="00EA7994">
        <w:rPr>
          <w:i/>
          <w:iCs/>
          <w:color w:val="000000"/>
        </w:rPr>
        <w:t>u</w:t>
      </w:r>
      <w:r w:rsidRPr="00EA7994">
        <w:rPr>
          <w:color w:val="000000"/>
        </w:rPr>
        <w:t xml:space="preserve"> = advective velocity, </w:t>
      </w:r>
      <w:r w:rsidRPr="00EA7994">
        <w:rPr>
          <w:i/>
          <w:iCs/>
          <w:color w:val="000000"/>
        </w:rPr>
        <w:t>L</w:t>
      </w:r>
      <w:r w:rsidRPr="00EA7994">
        <w:rPr>
          <w:color w:val="000000"/>
        </w:rPr>
        <w:t xml:space="preserve"> = characteristic length scale, and </w:t>
      </w:r>
      <w:r w:rsidRPr="00EA7994">
        <w:rPr>
          <w:i/>
          <w:iCs/>
          <w:color w:val="000000"/>
        </w:rPr>
        <w:t>D</w:t>
      </w:r>
      <w:r w:rsidRPr="00EA7994">
        <w:rPr>
          <w:i/>
          <w:iCs/>
          <w:color w:val="000000"/>
          <w:vertAlign w:val="subscript"/>
        </w:rPr>
        <w:t>s</w:t>
      </w:r>
      <w:r w:rsidRPr="00EA7994">
        <w:rPr>
          <w:color w:val="000000"/>
        </w:rPr>
        <w:t xml:space="preserve"> is the diffusion coefficient in sediments). These systems can be approximated using Rayleigh distillation equations, where the δ</w:t>
      </w:r>
      <w:r w:rsidRPr="00EA7994">
        <w:rPr>
          <w:color w:val="000000"/>
          <w:vertAlign w:val="superscript"/>
        </w:rPr>
        <w:t>7</w:t>
      </w:r>
      <w:r w:rsidRPr="00EA7994">
        <w:rPr>
          <w:color w:val="000000"/>
        </w:rPr>
        <w:t>Li value of the instantaneous product (in this case</w:t>
      </w:r>
      <w:r>
        <w:rPr>
          <w:color w:val="000000"/>
        </w:rPr>
        <w:t xml:space="preserve"> the</w:t>
      </w:r>
      <w:r w:rsidRPr="00EA7994">
        <w:rPr>
          <w:color w:val="000000"/>
        </w:rPr>
        <w:t xml:space="preserve"> secondary clays) has the potential to be very high (</w:t>
      </w:r>
      <w:r>
        <w:rPr>
          <w:color w:val="000000"/>
        </w:rPr>
        <w:t>Fig.</w:t>
      </w:r>
      <w:r w:rsidRPr="00EA7994">
        <w:rPr>
          <w:color w:val="000000"/>
        </w:rPr>
        <w:t xml:space="preserve"> S7). Under this scenario, upon isotope fractionation of </w:t>
      </w:r>
      <w:r w:rsidRPr="00EA7994">
        <w:rPr>
          <w:color w:val="000000"/>
          <w:vertAlign w:val="superscript"/>
        </w:rPr>
        <w:t>7</w:t>
      </w:r>
      <w:r w:rsidRPr="00EA7994">
        <w:rPr>
          <w:color w:val="000000"/>
        </w:rPr>
        <w:t>Li/</w:t>
      </w:r>
      <w:r w:rsidRPr="00EA7994">
        <w:rPr>
          <w:color w:val="000000"/>
          <w:vertAlign w:val="superscript"/>
        </w:rPr>
        <w:t>6</w:t>
      </w:r>
      <w:r w:rsidRPr="00EA7994">
        <w:rPr>
          <w:color w:val="000000"/>
        </w:rPr>
        <w:t xml:space="preserve">Li during clay </w:t>
      </w:r>
      <w:proofErr w:type="spellStart"/>
      <w:r w:rsidRPr="00EA7994">
        <w:rPr>
          <w:color w:val="000000"/>
        </w:rPr>
        <w:t>authigenesis</w:t>
      </w:r>
      <w:proofErr w:type="spellEnd"/>
      <w:r w:rsidRPr="00EA7994">
        <w:rPr>
          <w:color w:val="000000"/>
        </w:rPr>
        <w:t xml:space="preserve">, the </w:t>
      </w:r>
      <w:r w:rsidRPr="00EA7994">
        <w:rPr>
          <w:color w:val="000000"/>
          <w:vertAlign w:val="superscript"/>
        </w:rPr>
        <w:t>7</w:t>
      </w:r>
      <w:r w:rsidRPr="00EA7994">
        <w:rPr>
          <w:color w:val="000000"/>
        </w:rPr>
        <w:t>Li-enriched fluid is advected from the reaction site, and secondary clay mineral formation along the flow path can take up this Li with a consequently higher δ</w:t>
      </w:r>
      <w:r w:rsidRPr="00EA7994">
        <w:rPr>
          <w:color w:val="000000"/>
          <w:vertAlign w:val="superscript"/>
        </w:rPr>
        <w:t>7</w:t>
      </w:r>
      <w:r w:rsidRPr="00EA7994">
        <w:rPr>
          <w:color w:val="000000"/>
        </w:rPr>
        <w:t xml:space="preserve">Li values than the original fluid, which should reflect the bedrock isotopic signature. </w:t>
      </w:r>
    </w:p>
    <w:p w14:paraId="1777CC2B" w14:textId="39C1E1B4" w:rsidR="00A8060E" w:rsidRPr="00EA7994" w:rsidRDefault="00A8060E" w:rsidP="00A8060E">
      <w:pPr>
        <w:tabs>
          <w:tab w:val="left" w:pos="720"/>
        </w:tabs>
        <w:spacing w:line="360" w:lineRule="auto"/>
        <w:jc w:val="both"/>
        <w:rPr>
          <w:color w:val="000000"/>
        </w:rPr>
      </w:pPr>
      <w:r w:rsidRPr="00EA7994">
        <w:rPr>
          <w:color w:val="000000"/>
        </w:rPr>
        <w:tab/>
        <w:t xml:space="preserve">Diagenetic regimes in marine sediments are generally assumed to be diffusion dominated (Berner, 1980; </w:t>
      </w:r>
      <w:proofErr w:type="spellStart"/>
      <w:r w:rsidRPr="00EA7994">
        <w:rPr>
          <w:color w:val="000000"/>
        </w:rPr>
        <w:t>Burdige</w:t>
      </w:r>
      <w:proofErr w:type="spellEnd"/>
      <w:r w:rsidRPr="00EA7994">
        <w:rPr>
          <w:color w:val="000000"/>
        </w:rPr>
        <w:t xml:space="preserve">, 2006). This situation results from two possible </w:t>
      </w:r>
      <w:r>
        <w:rPr>
          <w:color w:val="000000"/>
        </w:rPr>
        <w:t>physical phenomenon</w:t>
      </w:r>
      <w:r w:rsidRPr="00EA7994">
        <w:rPr>
          <w:color w:val="000000"/>
        </w:rPr>
        <w:t xml:space="preserve">: </w:t>
      </w:r>
      <w:r w:rsidRPr="00EA7994">
        <w:rPr>
          <w:i/>
          <w:iCs/>
          <w:color w:val="000000"/>
        </w:rPr>
        <w:t>(1)</w:t>
      </w:r>
      <w:r w:rsidRPr="00EA7994">
        <w:rPr>
          <w:color w:val="000000"/>
        </w:rPr>
        <w:t xml:space="preserve"> the permeability of fine-grained sediments is very low compared to coarser grained sediments, which limits the potential for externally impressed advective flow (e.g., </w:t>
      </w:r>
      <w:proofErr w:type="spellStart"/>
      <w:r w:rsidRPr="00EA7994">
        <w:rPr>
          <w:color w:val="000000"/>
        </w:rPr>
        <w:t>Burdige</w:t>
      </w:r>
      <w:proofErr w:type="spellEnd"/>
      <w:r w:rsidRPr="00EA7994">
        <w:rPr>
          <w:color w:val="000000"/>
        </w:rPr>
        <w:t xml:space="preserve">, 2006), even in the presence of groundwater or hydrothermal flow, and </w:t>
      </w:r>
      <w:r w:rsidRPr="00EA7994">
        <w:rPr>
          <w:i/>
          <w:iCs/>
          <w:color w:val="000000"/>
        </w:rPr>
        <w:t>(2)</w:t>
      </w:r>
      <w:r w:rsidRPr="00EA7994">
        <w:rPr>
          <w:color w:val="000000"/>
        </w:rPr>
        <w:t xml:space="preserve"> the primary means of advective flow in marine settings—bottom-water currents and high compaction rates from fast sedimentation—are thought to be rare (high compaction rates from very high sedimentation rates) or limited in their ability to penetrate deep in the sediment column (porewater advection limited to uppermost ~10 cm even at moderate permeability; </w:t>
      </w:r>
      <w:proofErr w:type="spellStart"/>
      <w:r w:rsidRPr="00EA7994">
        <w:rPr>
          <w:color w:val="000000"/>
        </w:rPr>
        <w:t>Burdige</w:t>
      </w:r>
      <w:proofErr w:type="spellEnd"/>
      <w:r w:rsidRPr="00EA7994">
        <w:rPr>
          <w:color w:val="000000"/>
        </w:rPr>
        <w:t xml:space="preserve">, 2006). Where diffusion is dominant, the effective Li isotope fractionation from clay </w:t>
      </w:r>
      <w:proofErr w:type="spellStart"/>
      <w:r w:rsidRPr="00EA7994">
        <w:rPr>
          <w:color w:val="000000"/>
        </w:rPr>
        <w:t>authigenesis</w:t>
      </w:r>
      <w:proofErr w:type="spellEnd"/>
      <w:r w:rsidRPr="00EA7994">
        <w:rPr>
          <w:color w:val="000000"/>
        </w:rPr>
        <w:t xml:space="preserve"> at the seafloor cannot result in clay δ</w:t>
      </w:r>
      <w:r w:rsidRPr="00EA7994">
        <w:rPr>
          <w:color w:val="000000"/>
          <w:vertAlign w:val="superscript"/>
        </w:rPr>
        <w:t>7</w:t>
      </w:r>
      <w:r w:rsidRPr="00EA7994">
        <w:rPr>
          <w:color w:val="000000"/>
        </w:rPr>
        <w:t>Li values higher than that of seawater (Li et al., 202</w:t>
      </w:r>
      <w:r w:rsidR="00A21B85">
        <w:rPr>
          <w:color w:val="000000"/>
        </w:rPr>
        <w:t>1</w:t>
      </w:r>
      <w:r w:rsidRPr="00EA7994">
        <w:rPr>
          <w:color w:val="000000"/>
        </w:rPr>
        <w:t xml:space="preserve">)—an outcome that is also predicted for other diffusion-dominated isotope fractionation in groundwater systems (e.g., Se isotopes; Clark </w:t>
      </w:r>
      <w:r>
        <w:rPr>
          <w:color w:val="000000"/>
        </w:rPr>
        <w:t>&amp;</w:t>
      </w:r>
      <w:r w:rsidRPr="00EA7994">
        <w:rPr>
          <w:color w:val="000000"/>
        </w:rPr>
        <w:t xml:space="preserve"> Johnson, 2008) and in biogeochemical reduction during early marine diagenesis (e.g., U isotopes; Lau et al., 2020). Based on Rayleigh principles and riverine observations, however, it should be considered whether environments exist in marine sedimentary systems with high diagenetic fluid advection rates that maintain open system behavior (e.g., </w:t>
      </w:r>
      <w:proofErr w:type="spellStart"/>
      <w:r w:rsidRPr="00EA7994">
        <w:rPr>
          <w:color w:val="000000"/>
        </w:rPr>
        <w:t>Péclet</w:t>
      </w:r>
      <w:proofErr w:type="spellEnd"/>
      <w:r w:rsidRPr="00EA7994">
        <w:rPr>
          <w:color w:val="000000"/>
        </w:rPr>
        <w:t xml:space="preserve"> number &gt; 1) and thus influence the δ</w:t>
      </w:r>
      <w:r w:rsidRPr="00EA7994">
        <w:rPr>
          <w:color w:val="000000"/>
          <w:vertAlign w:val="superscript"/>
        </w:rPr>
        <w:t>7</w:t>
      </w:r>
      <w:r w:rsidRPr="00EA7994">
        <w:rPr>
          <w:color w:val="000000"/>
        </w:rPr>
        <w:t>Li signal of the siliciclastic sediments.</w:t>
      </w:r>
    </w:p>
    <w:p w14:paraId="69E04E6F" w14:textId="7CDA5060" w:rsidR="00A8060E" w:rsidRPr="00EA7994" w:rsidRDefault="00A8060E" w:rsidP="00A8060E">
      <w:pPr>
        <w:tabs>
          <w:tab w:val="left" w:pos="720"/>
        </w:tabs>
        <w:spacing w:line="360" w:lineRule="auto"/>
        <w:jc w:val="both"/>
        <w:rPr>
          <w:color w:val="000000"/>
        </w:rPr>
      </w:pPr>
      <w:r w:rsidRPr="00EA7994">
        <w:rPr>
          <w:color w:val="000000"/>
        </w:rPr>
        <w:lastRenderedPageBreak/>
        <w:tab/>
        <w:t xml:space="preserve">Advection-dominated sedimentary systems are expected in shallow settings where tidal forces, groundwater flow, precipitation, and differences in water mass density (salinity) drive flow. A classic example is dolomitization of shallow carbonate platforms, where advection is required to deliver </w:t>
      </w:r>
      <w:r>
        <w:rPr>
          <w:color w:val="000000"/>
        </w:rPr>
        <w:t xml:space="preserve">a large enough flux of </w:t>
      </w:r>
      <w:r w:rsidRPr="00EA7994">
        <w:rPr>
          <w:color w:val="000000"/>
        </w:rPr>
        <w:t xml:space="preserve">Mg to transform calcite to dolomite (e.g., Jones et al., 2002). These nearshore settings would be expected to </w:t>
      </w:r>
      <w:r>
        <w:rPr>
          <w:color w:val="000000"/>
        </w:rPr>
        <w:t>have been dolomitized and potentially influenced</w:t>
      </w:r>
      <w:r w:rsidRPr="00EA7994">
        <w:rPr>
          <w:color w:val="000000"/>
        </w:rPr>
        <w:t xml:space="preserve"> by</w:t>
      </w:r>
      <w:r>
        <w:rPr>
          <w:color w:val="000000"/>
        </w:rPr>
        <w:t xml:space="preserve"> </w:t>
      </w:r>
      <w:r w:rsidRPr="00EA7994">
        <w:rPr>
          <w:color w:val="000000"/>
        </w:rPr>
        <w:t>terrestrial clay input, however, and preservation of a dominantly authigenic clay signal would not be expected. Alternatively, hydrothermal vents—settings which are unlikely to be preserved in the sedimentary record—are characterized by advective fluid fluxes generated by the large temperature gradients that result in convective flow of seawater through the seafloor (e.g., Maris et al., 1984). High advective fluxes are not expected for typical marine shale or chert environments, and advection during diagenesis is also unlikely because fine-grained siliciclastic and chert environments typically have low permeability (</w:t>
      </w:r>
      <w:proofErr w:type="spellStart"/>
      <w:r w:rsidRPr="00EA7994">
        <w:rPr>
          <w:color w:val="000000"/>
        </w:rPr>
        <w:t>Burdige</w:t>
      </w:r>
      <w:proofErr w:type="spellEnd"/>
      <w:r w:rsidRPr="00EA7994">
        <w:rPr>
          <w:color w:val="000000"/>
        </w:rPr>
        <w:t>, 2006). Specifically for the P/Tr δ</w:t>
      </w:r>
      <w:r w:rsidRPr="00EA7994">
        <w:rPr>
          <w:color w:val="000000"/>
          <w:vertAlign w:val="superscript"/>
        </w:rPr>
        <w:t>7</w:t>
      </w:r>
      <w:r w:rsidRPr="00EA7994">
        <w:rPr>
          <w:color w:val="000000"/>
        </w:rPr>
        <w:t>Li records, the highest siliciclastic δ</w:t>
      </w:r>
      <w:r w:rsidRPr="00EA7994">
        <w:rPr>
          <w:color w:val="000000"/>
          <w:vertAlign w:val="superscript"/>
        </w:rPr>
        <w:t>7</w:t>
      </w:r>
      <w:r w:rsidRPr="00EA7994">
        <w:rPr>
          <w:color w:val="000000"/>
        </w:rPr>
        <w:t>Li values occur in the Waiheke Island section from New Zealand (</w:t>
      </w:r>
      <w:r>
        <w:rPr>
          <w:color w:val="000000"/>
        </w:rPr>
        <w:t>Fig.</w:t>
      </w:r>
      <w:r w:rsidRPr="00EA7994">
        <w:rPr>
          <w:color w:val="000000"/>
        </w:rPr>
        <w:t xml:space="preserve"> </w:t>
      </w:r>
      <w:r w:rsidR="00A21B85">
        <w:rPr>
          <w:color w:val="000000"/>
        </w:rPr>
        <w:t>6</w:t>
      </w:r>
      <w:r w:rsidRPr="00EA7994">
        <w:rPr>
          <w:color w:val="000000"/>
        </w:rPr>
        <w:t xml:space="preserve">), which </w:t>
      </w:r>
      <w:r>
        <w:rPr>
          <w:color w:val="000000"/>
        </w:rPr>
        <w:t xml:space="preserve">is interpreted as </w:t>
      </w:r>
      <w:r w:rsidRPr="00EA7994">
        <w:rPr>
          <w:color w:val="000000"/>
        </w:rPr>
        <w:t>a pelagic deep-marine setting that should not have advective circulation and that does not contain evidence for substantial hydrothermal or diagenetic advective flow (based on the mineralogy of the site; Rauzi et al., 2024). Further, some high δ</w:t>
      </w:r>
      <w:r w:rsidRPr="00EA7994">
        <w:rPr>
          <w:color w:val="000000"/>
          <w:vertAlign w:val="superscript"/>
        </w:rPr>
        <w:t>7</w:t>
      </w:r>
      <w:r w:rsidRPr="00EA7994">
        <w:rPr>
          <w:color w:val="000000"/>
        </w:rPr>
        <w:t>Li values (i.e., that are higher than contemporaneous seawater as constrained from carbonate δ</w:t>
      </w:r>
      <w:r w:rsidRPr="00EA7994">
        <w:rPr>
          <w:color w:val="000000"/>
          <w:vertAlign w:val="superscript"/>
        </w:rPr>
        <w:t>7</w:t>
      </w:r>
      <w:r w:rsidRPr="00EA7994">
        <w:rPr>
          <w:color w:val="000000"/>
        </w:rPr>
        <w:t>Li values) occur in two other sections (</w:t>
      </w:r>
      <w:proofErr w:type="spellStart"/>
      <w:r w:rsidRPr="00EA7994">
        <w:rPr>
          <w:color w:val="000000"/>
        </w:rPr>
        <w:t>Ubara</w:t>
      </w:r>
      <w:proofErr w:type="spellEnd"/>
      <w:r w:rsidRPr="00EA7994">
        <w:rPr>
          <w:color w:val="000000"/>
        </w:rPr>
        <w:t xml:space="preserve">, Japan and </w:t>
      </w:r>
      <w:proofErr w:type="spellStart"/>
      <w:r w:rsidRPr="00EA7994">
        <w:rPr>
          <w:color w:val="000000"/>
        </w:rPr>
        <w:t>Lusitaniadalen</w:t>
      </w:r>
      <w:proofErr w:type="spellEnd"/>
      <w:r w:rsidRPr="00EA7994">
        <w:rPr>
          <w:color w:val="000000"/>
        </w:rPr>
        <w:t>, Svalbard), suggesting that the high δ</w:t>
      </w:r>
      <w:r w:rsidRPr="00EA7994">
        <w:rPr>
          <w:color w:val="000000"/>
          <w:vertAlign w:val="superscript"/>
        </w:rPr>
        <w:t>7</w:t>
      </w:r>
      <w:r w:rsidRPr="00EA7994">
        <w:rPr>
          <w:color w:val="000000"/>
        </w:rPr>
        <w:t>Li values from New Zealand do not reflect the Li isotope signatures expected from a confined, single locality</w:t>
      </w:r>
      <w:r>
        <w:rPr>
          <w:color w:val="000000"/>
        </w:rPr>
        <w:t xml:space="preserve"> (Rauzi et al., 2024)</w:t>
      </w:r>
      <w:r w:rsidRPr="00EA7994">
        <w:rPr>
          <w:color w:val="000000"/>
        </w:rPr>
        <w:t>.</w:t>
      </w:r>
    </w:p>
    <w:p w14:paraId="159C6C4A" w14:textId="46941030" w:rsidR="00A21B85" w:rsidRDefault="00A8060E" w:rsidP="00A8060E">
      <w:pPr>
        <w:tabs>
          <w:tab w:val="left" w:pos="720"/>
        </w:tabs>
        <w:spacing w:line="360" w:lineRule="auto"/>
        <w:jc w:val="both"/>
        <w:rPr>
          <w:color w:val="000000"/>
        </w:rPr>
      </w:pPr>
      <w:r w:rsidRPr="00EA7994">
        <w:rPr>
          <w:color w:val="000000"/>
        </w:rPr>
        <w:tab/>
        <w:t>From a reactive transport perspective, it is possible that authigenic clay δ</w:t>
      </w:r>
      <w:r w:rsidRPr="00EA7994">
        <w:rPr>
          <w:color w:val="000000"/>
          <w:vertAlign w:val="superscript"/>
        </w:rPr>
        <w:t>7</w:t>
      </w:r>
      <w:r w:rsidRPr="00EA7994">
        <w:rPr>
          <w:color w:val="000000"/>
        </w:rPr>
        <w:t>Li values in marine settings could be higher than seawater (Fig. S7) but adopting this interpretation would be speculative and not based on typical expectations from marine diagenetic modeling. Furthermore, most advection-dominated environments where this effect could be possible would also experience significant mixing with detrital Li (e.g., nearshore) or would not be expected to be readily preserved in the sedimentary rock record (e.g., hydrothermal sediments). Rather, a specific environment—with negligible detrital Li (e.g., pure carbonates or cherts) that is also advection-dominated—would result in this effect; these settings should be avoided for seawater composition reconstructions</w:t>
      </w:r>
      <w:r>
        <w:rPr>
          <w:color w:val="000000"/>
        </w:rPr>
        <w:t xml:space="preserve"> in future work</w:t>
      </w:r>
      <w:r w:rsidRPr="00EA7994">
        <w:rPr>
          <w:color w:val="000000"/>
        </w:rPr>
        <w:t xml:space="preserve">. Nonetheless, this remains an important future direction that could be addressed by studies </w:t>
      </w:r>
      <w:r>
        <w:rPr>
          <w:color w:val="000000"/>
        </w:rPr>
        <w:t>of</w:t>
      </w:r>
      <w:r w:rsidRPr="00EA7994">
        <w:rPr>
          <w:color w:val="000000"/>
        </w:rPr>
        <w:t xml:space="preserve"> modern coastal sediments </w:t>
      </w:r>
      <w:r>
        <w:rPr>
          <w:color w:val="000000"/>
        </w:rPr>
        <w:t xml:space="preserve">in locations </w:t>
      </w:r>
      <w:r w:rsidRPr="00EA7994">
        <w:rPr>
          <w:color w:val="000000"/>
        </w:rPr>
        <w:t xml:space="preserve">characterized by high advective fluid flow. </w:t>
      </w:r>
    </w:p>
    <w:p w14:paraId="7CAC67E3" w14:textId="1A343C38" w:rsidR="00A21B85" w:rsidRDefault="00A21B85" w:rsidP="00A21B85">
      <w:pPr>
        <w:rPr>
          <w:b/>
          <w:bCs/>
          <w:i/>
          <w:iCs/>
          <w:color w:val="000000"/>
        </w:rPr>
      </w:pPr>
      <w:proofErr w:type="spellStart"/>
      <w:r>
        <w:rPr>
          <w:b/>
          <w:bCs/>
          <w:i/>
          <w:iCs/>
          <w:color w:val="000000"/>
        </w:rPr>
        <w:lastRenderedPageBreak/>
        <w:t>cGENIE</w:t>
      </w:r>
      <w:proofErr w:type="spellEnd"/>
      <w:r>
        <w:rPr>
          <w:b/>
          <w:bCs/>
          <w:i/>
          <w:iCs/>
          <w:color w:val="000000"/>
        </w:rPr>
        <w:t xml:space="preserve"> Earth system model</w:t>
      </w:r>
    </w:p>
    <w:p w14:paraId="44A32EE3" w14:textId="77777777" w:rsidR="00A21B85" w:rsidRDefault="00A21B85" w:rsidP="00A21B85">
      <w:pPr>
        <w:rPr>
          <w:b/>
          <w:bCs/>
          <w:i/>
          <w:iCs/>
          <w:color w:val="000000"/>
        </w:rPr>
      </w:pPr>
    </w:p>
    <w:p w14:paraId="06837857" w14:textId="4FB61A25" w:rsidR="00A21B85" w:rsidRPr="00EA7994" w:rsidRDefault="00A21B85" w:rsidP="00A8060E">
      <w:pPr>
        <w:tabs>
          <w:tab w:val="left" w:pos="720"/>
        </w:tabs>
        <w:spacing w:line="360" w:lineRule="auto"/>
        <w:jc w:val="both"/>
        <w:rPr>
          <w:color w:val="000000"/>
        </w:rPr>
      </w:pPr>
      <w:r>
        <w:rPr>
          <w:color w:val="000000"/>
        </w:rPr>
        <w:tab/>
        <w:t xml:space="preserve">We use </w:t>
      </w:r>
      <w:r w:rsidRPr="00EA7994">
        <w:rPr>
          <w:color w:val="000000"/>
        </w:rPr>
        <w:t xml:space="preserve">the </w:t>
      </w:r>
      <w:proofErr w:type="spellStart"/>
      <w:r w:rsidRPr="00EA7994">
        <w:rPr>
          <w:color w:val="000000"/>
        </w:rPr>
        <w:t>cGENIE</w:t>
      </w:r>
      <w:proofErr w:type="spellEnd"/>
      <w:r w:rsidRPr="00EA7994">
        <w:rPr>
          <w:color w:val="000000"/>
        </w:rPr>
        <w:t xml:space="preserve"> Earth system model of intermediate complexity, which is based on a frictional-geostrophic approximation 3D ocean circulation model coupled to a fast 2D energy–moisture balance atmosphere and a dynamic–thermodynamic sea-ice component (Edwards &amp; Marsh, 2005; Marsh et al., 2011). In all simulations, we adopt a published end-Permian paleogeographic configuration using a 36 × 36 equal-area horizontal </w:t>
      </w:r>
      <w:proofErr w:type="gramStart"/>
      <w:r w:rsidRPr="00EA7994">
        <w:rPr>
          <w:color w:val="000000"/>
        </w:rPr>
        <w:t>grid</w:t>
      </w:r>
      <w:proofErr w:type="gramEnd"/>
      <w:r w:rsidRPr="00EA7994">
        <w:rPr>
          <w:color w:val="000000"/>
        </w:rPr>
        <w:t xml:space="preserve"> with 16 depth levels in the ocean (</w:t>
      </w:r>
      <w:proofErr w:type="spellStart"/>
      <w:r w:rsidRPr="00EA7994">
        <w:rPr>
          <w:color w:val="000000"/>
        </w:rPr>
        <w:t>Hülse</w:t>
      </w:r>
      <w:proofErr w:type="spellEnd"/>
      <w:r w:rsidRPr="00EA7994">
        <w:rPr>
          <w:color w:val="000000"/>
        </w:rPr>
        <w:t xml:space="preserve"> et al., 2021).</w:t>
      </w:r>
      <w:r>
        <w:rPr>
          <w:color w:val="000000"/>
        </w:rPr>
        <w:t xml:space="preserve"> </w:t>
      </w:r>
      <w:r w:rsidRPr="00EA7994">
        <w:rPr>
          <w:color w:val="000000"/>
        </w:rPr>
        <w:t>The concentration of the tracer is shown</w:t>
      </w:r>
      <w:r>
        <w:rPr>
          <w:color w:val="000000"/>
        </w:rPr>
        <w:t xml:space="preserve"> in Fig. 9</w:t>
      </w:r>
      <w:r w:rsidRPr="00EA7994">
        <w:rPr>
          <w:color w:val="000000"/>
        </w:rPr>
        <w:t xml:space="preserve"> for the shallow ocean after the model is integrated for 5</w:t>
      </w:r>
      <w:r>
        <w:rPr>
          <w:color w:val="000000"/>
        </w:rPr>
        <w:t>,</w:t>
      </w:r>
      <w:r w:rsidRPr="00EA7994">
        <w:rPr>
          <w:color w:val="000000"/>
        </w:rPr>
        <w:t>000 years.</w:t>
      </w:r>
      <w:r>
        <w:rPr>
          <w:color w:val="000000"/>
        </w:rPr>
        <w:t xml:space="preserve"> </w:t>
      </w:r>
      <w:r w:rsidRPr="00EA7994">
        <w:rPr>
          <w:color w:val="000000"/>
        </w:rPr>
        <w:t>The predicted precipitation patterns from Scotese (2014) and Li et al. (2022) show relatively arid conditions on the eastern margin of Pangea, which could result in a relatively smaller riverine Li flux to the western Tethys compared to the eastern Panthalass</w:t>
      </w:r>
      <w:r>
        <w:rPr>
          <w:color w:val="000000"/>
        </w:rPr>
        <w:t>a</w:t>
      </w:r>
      <w:r w:rsidRPr="00EA7994">
        <w:rPr>
          <w:color w:val="000000"/>
        </w:rPr>
        <w:t xml:space="preserve"> Ocean.</w:t>
      </w:r>
      <w:r>
        <w:rPr>
          <w:color w:val="000000"/>
        </w:rPr>
        <w:t xml:space="preserve"> C</w:t>
      </w:r>
      <w:r w:rsidRPr="00EA7994">
        <w:rPr>
          <w:color w:val="000000"/>
        </w:rPr>
        <w:t>ontinental sources off the eastern margin of the Paleo-Tethys Ocean</w:t>
      </w:r>
      <w:r>
        <w:rPr>
          <w:color w:val="000000"/>
        </w:rPr>
        <w:t xml:space="preserve"> are not simulated</w:t>
      </w:r>
      <w:r w:rsidRPr="00EA7994">
        <w:rPr>
          <w:color w:val="000000"/>
        </w:rPr>
        <w:t xml:space="preserve"> due to large uncertainties of the extent and morphology of subaerial landmasses. Additionally, the low spatial resolution of </w:t>
      </w:r>
      <w:proofErr w:type="spellStart"/>
      <w:r w:rsidRPr="00EA7994">
        <w:rPr>
          <w:color w:val="000000"/>
        </w:rPr>
        <w:t>cGENIE</w:t>
      </w:r>
      <w:proofErr w:type="spellEnd"/>
      <w:r w:rsidRPr="00EA7994">
        <w:rPr>
          <w:color w:val="000000"/>
        </w:rPr>
        <w:t xml:space="preserve"> may not accurately represent circulation in the Paleo-Tethys. Therefore, </w:t>
      </w:r>
      <w:r>
        <w:rPr>
          <w:color w:val="000000"/>
        </w:rPr>
        <w:t>these</w:t>
      </w:r>
      <w:r w:rsidRPr="00EA7994">
        <w:rPr>
          <w:color w:val="000000"/>
        </w:rPr>
        <w:t xml:space="preserve"> simulations </w:t>
      </w:r>
      <w:r>
        <w:rPr>
          <w:color w:val="000000"/>
        </w:rPr>
        <w:t>are not intended to</w:t>
      </w:r>
      <w:r w:rsidRPr="00EA7994">
        <w:rPr>
          <w:color w:val="000000"/>
        </w:rPr>
        <w:t xml:space="preserve"> track potential transport patterns applicable to Turkey or South China.</w:t>
      </w:r>
      <w:r>
        <w:rPr>
          <w:color w:val="000000"/>
        </w:rPr>
        <w:t xml:space="preserve"> </w:t>
      </w:r>
      <w:r w:rsidRPr="00EA7994">
        <w:rPr>
          <w:color w:val="000000"/>
        </w:rPr>
        <w:t>Future work</w:t>
      </w:r>
      <w:r>
        <w:rPr>
          <w:color w:val="000000"/>
        </w:rPr>
        <w:t xml:space="preserve"> in </w:t>
      </w:r>
      <w:proofErr w:type="spellStart"/>
      <w:r>
        <w:rPr>
          <w:color w:val="000000"/>
        </w:rPr>
        <w:t>cGENIE</w:t>
      </w:r>
      <w:proofErr w:type="spellEnd"/>
      <w:r w:rsidRPr="00EA7994">
        <w:rPr>
          <w:color w:val="000000"/>
        </w:rPr>
        <w:t xml:space="preserve"> could include explicit modeling of Li isotopes in the ocean basins </w:t>
      </w:r>
      <w:proofErr w:type="gramStart"/>
      <w:r w:rsidRPr="00EA7994">
        <w:rPr>
          <w:color w:val="000000"/>
        </w:rPr>
        <w:t>as a result of</w:t>
      </w:r>
      <w:proofErr w:type="gramEnd"/>
      <w:r w:rsidRPr="00EA7994">
        <w:rPr>
          <w:color w:val="000000"/>
        </w:rPr>
        <w:t xml:space="preserve"> variable continental weathering (Adloff et al., 2021).</w:t>
      </w:r>
    </w:p>
    <w:p w14:paraId="521A84D7" w14:textId="77777777" w:rsidR="00A8060E" w:rsidRDefault="00A8060E">
      <w:pPr>
        <w:rPr>
          <w:rFonts w:asciiTheme="majorHAnsi" w:hAnsiTheme="majorHAnsi" w:cstheme="majorHAnsi"/>
          <w:color w:val="000000"/>
        </w:rPr>
      </w:pPr>
    </w:p>
    <w:p w14:paraId="49B096E7" w14:textId="77777777" w:rsidR="006F4F3D" w:rsidRDefault="006F4F3D" w:rsidP="00377DC3">
      <w:pPr>
        <w:tabs>
          <w:tab w:val="left" w:pos="720"/>
        </w:tabs>
        <w:spacing w:line="276" w:lineRule="auto"/>
        <w:jc w:val="both"/>
        <w:rPr>
          <w:rFonts w:asciiTheme="majorHAnsi" w:hAnsiTheme="majorHAnsi" w:cstheme="majorHAnsi"/>
          <w:color w:val="000000"/>
        </w:rPr>
      </w:pPr>
    </w:p>
    <w:p w14:paraId="21AE71F0" w14:textId="15DCF818" w:rsidR="0098577C" w:rsidRDefault="00C31EAC" w:rsidP="0098577C">
      <w:pPr>
        <w:spacing w:line="360" w:lineRule="auto"/>
        <w:rPr>
          <w:rFonts w:asciiTheme="majorHAnsi" w:hAnsiTheme="majorHAnsi" w:cstheme="majorHAnsi"/>
        </w:rPr>
      </w:pPr>
      <w:r w:rsidRPr="00C31EAC">
        <w:rPr>
          <w:rFonts w:asciiTheme="majorHAnsi" w:hAnsiTheme="majorHAnsi" w:cstheme="majorHAnsi"/>
          <w:noProof/>
        </w:rPr>
        <w:lastRenderedPageBreak/>
        <w:drawing>
          <wp:inline distT="0" distB="0" distL="0" distR="0" wp14:anchorId="59266624" wp14:editId="3DDA3ADD">
            <wp:extent cx="5943600" cy="4245610"/>
            <wp:effectExtent l="0" t="0" r="0" b="0"/>
            <wp:docPr id="314853812" name="Picture 1"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853812" name="Picture 1" descr="A screenshot of a computer game&#10;&#10;Description automatically generated"/>
                    <pic:cNvPicPr/>
                  </pic:nvPicPr>
                  <pic:blipFill>
                    <a:blip r:embed="rId7"/>
                    <a:stretch>
                      <a:fillRect/>
                    </a:stretch>
                  </pic:blipFill>
                  <pic:spPr>
                    <a:xfrm>
                      <a:off x="0" y="0"/>
                      <a:ext cx="5943600" cy="4245610"/>
                    </a:xfrm>
                    <a:prstGeom prst="rect">
                      <a:avLst/>
                    </a:prstGeom>
                  </pic:spPr>
                </pic:pic>
              </a:graphicData>
            </a:graphic>
          </wp:inline>
        </w:drawing>
      </w:r>
    </w:p>
    <w:p w14:paraId="3C55DBA1" w14:textId="4983E7A4" w:rsidR="0098577C" w:rsidRPr="00EF1DC1" w:rsidRDefault="0098577C" w:rsidP="0098577C">
      <w:pPr>
        <w:jc w:val="both"/>
        <w:rPr>
          <w:b/>
          <w:bCs/>
          <w:i/>
          <w:iCs/>
          <w:color w:val="000000"/>
          <w:sz w:val="22"/>
          <w:szCs w:val="22"/>
        </w:rPr>
      </w:pPr>
      <w:r w:rsidRPr="00EF1DC1">
        <w:rPr>
          <w:b/>
          <w:bCs/>
          <w:i/>
          <w:iCs/>
          <w:color w:val="000000"/>
          <w:sz w:val="22"/>
          <w:szCs w:val="22"/>
        </w:rPr>
        <w:t>Figure S1. Box-and-whisker plots of carbonate δ</w:t>
      </w:r>
      <w:r w:rsidRPr="00EF1DC1">
        <w:rPr>
          <w:b/>
          <w:bCs/>
          <w:i/>
          <w:iCs/>
          <w:color w:val="000000"/>
          <w:sz w:val="22"/>
          <w:szCs w:val="22"/>
          <w:vertAlign w:val="superscript"/>
        </w:rPr>
        <w:t>7</w:t>
      </w:r>
      <w:r w:rsidRPr="00EF1DC1">
        <w:rPr>
          <w:b/>
          <w:bCs/>
          <w:i/>
          <w:iCs/>
          <w:color w:val="000000"/>
          <w:sz w:val="22"/>
          <w:szCs w:val="22"/>
        </w:rPr>
        <w:t>Li (top)</w:t>
      </w:r>
      <w:r w:rsidR="00412CCE" w:rsidRPr="00EF1DC1">
        <w:rPr>
          <w:b/>
          <w:bCs/>
          <w:i/>
          <w:iCs/>
          <w:color w:val="000000"/>
          <w:sz w:val="22"/>
          <w:szCs w:val="22"/>
        </w:rPr>
        <w:t xml:space="preserve"> </w:t>
      </w:r>
      <w:r w:rsidRPr="00EF1DC1">
        <w:rPr>
          <w:b/>
          <w:bCs/>
          <w:i/>
          <w:iCs/>
          <w:color w:val="000000"/>
          <w:sz w:val="22"/>
          <w:szCs w:val="22"/>
        </w:rPr>
        <w:t>and Li/Ca records (bottom) binned by stage.</w:t>
      </w:r>
      <w:r w:rsidRPr="00EF1DC1">
        <w:rPr>
          <w:color w:val="000000"/>
          <w:sz w:val="22"/>
          <w:szCs w:val="22"/>
        </w:rPr>
        <w:t xml:space="preserve"> We compare three carbonate sections, two from this study (</w:t>
      </w:r>
      <w:proofErr w:type="spellStart"/>
      <w:r w:rsidRPr="00EF1DC1">
        <w:rPr>
          <w:color w:val="000000"/>
          <w:sz w:val="22"/>
          <w:szCs w:val="22"/>
        </w:rPr>
        <w:t>Taşkent</w:t>
      </w:r>
      <w:proofErr w:type="spellEnd"/>
      <w:r w:rsidRPr="00EF1DC1">
        <w:rPr>
          <w:color w:val="000000"/>
          <w:sz w:val="22"/>
          <w:szCs w:val="22"/>
        </w:rPr>
        <w:t xml:space="preserve">, Turkey, and </w:t>
      </w:r>
      <w:proofErr w:type="spellStart"/>
      <w:r w:rsidRPr="00EF1DC1">
        <w:rPr>
          <w:color w:val="000000"/>
          <w:sz w:val="22"/>
          <w:szCs w:val="22"/>
        </w:rPr>
        <w:t>Takachiho</w:t>
      </w:r>
      <w:proofErr w:type="spellEnd"/>
      <w:r w:rsidRPr="00EF1DC1">
        <w:rPr>
          <w:color w:val="000000"/>
          <w:sz w:val="22"/>
          <w:szCs w:val="22"/>
        </w:rPr>
        <w:t>, Japan) with previously published data from South China (Cao et al., 2022). Numbers in blue are the number of samples represented in each boxplot</w:t>
      </w:r>
      <w:r w:rsidR="008B3DC3" w:rsidRPr="00EF1DC1">
        <w:rPr>
          <w:color w:val="000000"/>
          <w:sz w:val="22"/>
          <w:szCs w:val="22"/>
        </w:rPr>
        <w:t xml:space="preserve"> and data are shown as blue circles</w:t>
      </w:r>
      <w:r w:rsidRPr="00EF1DC1">
        <w:rPr>
          <w:color w:val="000000"/>
          <w:sz w:val="22"/>
          <w:szCs w:val="22"/>
        </w:rPr>
        <w:t>. The ANOVA analysis (Table S2) indicates that the δ</w:t>
      </w:r>
      <w:r w:rsidRPr="00EF1DC1">
        <w:rPr>
          <w:color w:val="000000"/>
          <w:sz w:val="22"/>
          <w:szCs w:val="22"/>
          <w:vertAlign w:val="superscript"/>
        </w:rPr>
        <w:t>7</w:t>
      </w:r>
      <w:r w:rsidRPr="00EF1DC1">
        <w:rPr>
          <w:color w:val="000000"/>
          <w:sz w:val="22"/>
          <w:szCs w:val="22"/>
        </w:rPr>
        <w:t xml:space="preserve">Li in the </w:t>
      </w:r>
      <w:proofErr w:type="spellStart"/>
      <w:r w:rsidRPr="00EF1DC1">
        <w:rPr>
          <w:color w:val="000000"/>
          <w:sz w:val="22"/>
          <w:szCs w:val="22"/>
        </w:rPr>
        <w:t>Anisian</w:t>
      </w:r>
      <w:proofErr w:type="spellEnd"/>
      <w:r w:rsidRPr="00EF1DC1">
        <w:rPr>
          <w:color w:val="000000"/>
          <w:sz w:val="22"/>
          <w:szCs w:val="22"/>
        </w:rPr>
        <w:t xml:space="preserve"> (orange) are significantly higher than the δ</w:t>
      </w:r>
      <w:r w:rsidRPr="00EF1DC1">
        <w:rPr>
          <w:color w:val="000000"/>
          <w:sz w:val="22"/>
          <w:szCs w:val="22"/>
          <w:vertAlign w:val="superscript"/>
        </w:rPr>
        <w:t>7</w:t>
      </w:r>
      <w:r w:rsidRPr="00EF1DC1">
        <w:rPr>
          <w:color w:val="000000"/>
          <w:sz w:val="22"/>
          <w:szCs w:val="22"/>
        </w:rPr>
        <w:t xml:space="preserve">Li of the preceding stages in </w:t>
      </w:r>
      <w:proofErr w:type="spellStart"/>
      <w:r w:rsidRPr="00EF1DC1">
        <w:rPr>
          <w:color w:val="000000"/>
          <w:sz w:val="22"/>
          <w:szCs w:val="22"/>
        </w:rPr>
        <w:t>Taşkent</w:t>
      </w:r>
      <w:proofErr w:type="spellEnd"/>
      <w:r w:rsidRPr="00EF1DC1">
        <w:rPr>
          <w:color w:val="000000"/>
          <w:sz w:val="22"/>
          <w:szCs w:val="22"/>
        </w:rPr>
        <w:t xml:space="preserve"> and compared to the </w:t>
      </w:r>
      <w:proofErr w:type="spellStart"/>
      <w:r w:rsidRPr="00EF1DC1">
        <w:rPr>
          <w:color w:val="000000"/>
          <w:sz w:val="22"/>
          <w:szCs w:val="22"/>
        </w:rPr>
        <w:t>Induan</w:t>
      </w:r>
      <w:proofErr w:type="spellEnd"/>
      <w:r w:rsidRPr="00EF1DC1">
        <w:rPr>
          <w:color w:val="000000"/>
          <w:sz w:val="22"/>
          <w:szCs w:val="22"/>
        </w:rPr>
        <w:t xml:space="preserve"> and </w:t>
      </w:r>
      <w:proofErr w:type="spellStart"/>
      <w:r w:rsidRPr="00EF1DC1">
        <w:rPr>
          <w:color w:val="000000"/>
          <w:sz w:val="22"/>
          <w:szCs w:val="22"/>
        </w:rPr>
        <w:t>Olenekian</w:t>
      </w:r>
      <w:proofErr w:type="spellEnd"/>
      <w:r w:rsidRPr="00EF1DC1">
        <w:rPr>
          <w:color w:val="000000"/>
          <w:sz w:val="22"/>
          <w:szCs w:val="22"/>
        </w:rPr>
        <w:t xml:space="preserve"> in </w:t>
      </w:r>
      <w:proofErr w:type="spellStart"/>
      <w:r w:rsidRPr="00EF1DC1">
        <w:rPr>
          <w:color w:val="000000"/>
          <w:sz w:val="22"/>
          <w:szCs w:val="22"/>
        </w:rPr>
        <w:t>Takachiho</w:t>
      </w:r>
      <w:proofErr w:type="spellEnd"/>
      <w:r w:rsidRPr="00EF1DC1">
        <w:rPr>
          <w:color w:val="000000"/>
          <w:sz w:val="22"/>
          <w:szCs w:val="22"/>
        </w:rPr>
        <w:t xml:space="preserve">. Chang. = </w:t>
      </w:r>
      <w:proofErr w:type="spellStart"/>
      <w:r w:rsidRPr="00EF1DC1">
        <w:rPr>
          <w:color w:val="000000"/>
          <w:sz w:val="22"/>
          <w:szCs w:val="22"/>
        </w:rPr>
        <w:t>Changhsingian</w:t>
      </w:r>
      <w:proofErr w:type="spellEnd"/>
      <w:r w:rsidRPr="00EF1DC1">
        <w:rPr>
          <w:color w:val="000000"/>
          <w:sz w:val="22"/>
          <w:szCs w:val="22"/>
        </w:rPr>
        <w:t xml:space="preserve">, Ind. = </w:t>
      </w:r>
      <w:proofErr w:type="spellStart"/>
      <w:r w:rsidRPr="00EF1DC1">
        <w:rPr>
          <w:color w:val="000000"/>
          <w:sz w:val="22"/>
          <w:szCs w:val="22"/>
        </w:rPr>
        <w:t>Induan</w:t>
      </w:r>
      <w:proofErr w:type="spellEnd"/>
      <w:r w:rsidRPr="00EF1DC1">
        <w:rPr>
          <w:color w:val="000000"/>
          <w:sz w:val="22"/>
          <w:szCs w:val="22"/>
        </w:rPr>
        <w:t xml:space="preserve">, Olen. = </w:t>
      </w:r>
      <w:proofErr w:type="spellStart"/>
      <w:r w:rsidRPr="00EF1DC1">
        <w:rPr>
          <w:color w:val="000000"/>
          <w:sz w:val="22"/>
          <w:szCs w:val="22"/>
        </w:rPr>
        <w:t>Olenekian</w:t>
      </w:r>
      <w:proofErr w:type="spellEnd"/>
      <w:r w:rsidRPr="00EF1DC1">
        <w:rPr>
          <w:color w:val="000000"/>
          <w:sz w:val="22"/>
          <w:szCs w:val="22"/>
        </w:rPr>
        <w:t xml:space="preserve">, Anis. = </w:t>
      </w:r>
      <w:proofErr w:type="spellStart"/>
      <w:r w:rsidRPr="00EF1DC1">
        <w:rPr>
          <w:color w:val="000000"/>
          <w:sz w:val="22"/>
          <w:szCs w:val="22"/>
        </w:rPr>
        <w:t>Anisian</w:t>
      </w:r>
      <w:proofErr w:type="spellEnd"/>
      <w:r w:rsidRPr="00EF1DC1">
        <w:rPr>
          <w:color w:val="000000"/>
          <w:sz w:val="22"/>
          <w:szCs w:val="22"/>
        </w:rPr>
        <w:t xml:space="preserve">, Ladin. = Ladinian, </w:t>
      </w:r>
      <w:r w:rsidR="000A7E3A" w:rsidRPr="00EF1DC1">
        <w:rPr>
          <w:color w:val="000000"/>
          <w:sz w:val="22"/>
          <w:szCs w:val="22"/>
        </w:rPr>
        <w:t xml:space="preserve">Carn. = </w:t>
      </w:r>
      <w:proofErr w:type="spellStart"/>
      <w:r w:rsidR="000A7E3A" w:rsidRPr="00EF1DC1">
        <w:rPr>
          <w:color w:val="000000"/>
          <w:sz w:val="22"/>
          <w:szCs w:val="22"/>
        </w:rPr>
        <w:t>Carnian</w:t>
      </w:r>
      <w:proofErr w:type="spellEnd"/>
      <w:r w:rsidR="000A7E3A" w:rsidRPr="00EF1DC1">
        <w:rPr>
          <w:color w:val="000000"/>
          <w:sz w:val="22"/>
          <w:szCs w:val="22"/>
        </w:rPr>
        <w:t xml:space="preserve">, </w:t>
      </w:r>
      <w:r w:rsidRPr="00EF1DC1">
        <w:rPr>
          <w:color w:val="000000"/>
          <w:sz w:val="22"/>
          <w:szCs w:val="22"/>
        </w:rPr>
        <w:t xml:space="preserve">Perm. = Permian, </w:t>
      </w:r>
      <w:r w:rsidR="000A7E3A" w:rsidRPr="00EF1DC1">
        <w:rPr>
          <w:color w:val="000000"/>
          <w:sz w:val="22"/>
          <w:szCs w:val="22"/>
        </w:rPr>
        <w:t>Early</w:t>
      </w:r>
      <w:r w:rsidRPr="00EF1DC1">
        <w:rPr>
          <w:color w:val="000000"/>
          <w:sz w:val="22"/>
          <w:szCs w:val="22"/>
        </w:rPr>
        <w:t xml:space="preserve"> Tr. = Early Triassic, Mid.</w:t>
      </w:r>
      <w:r w:rsidR="000A7E3A" w:rsidRPr="00EF1DC1">
        <w:rPr>
          <w:color w:val="000000"/>
          <w:sz w:val="22"/>
          <w:szCs w:val="22"/>
        </w:rPr>
        <w:t>-L.</w:t>
      </w:r>
      <w:r w:rsidRPr="00EF1DC1">
        <w:rPr>
          <w:color w:val="000000"/>
          <w:sz w:val="22"/>
          <w:szCs w:val="22"/>
        </w:rPr>
        <w:t xml:space="preserve"> Tr. = Middle </w:t>
      </w:r>
      <w:r w:rsidR="000A7E3A" w:rsidRPr="00EF1DC1">
        <w:rPr>
          <w:color w:val="000000"/>
          <w:sz w:val="22"/>
          <w:szCs w:val="22"/>
        </w:rPr>
        <w:t xml:space="preserve">to Late </w:t>
      </w:r>
      <w:r w:rsidRPr="00EF1DC1">
        <w:rPr>
          <w:color w:val="000000"/>
          <w:sz w:val="22"/>
          <w:szCs w:val="22"/>
        </w:rPr>
        <w:t>Triassic.</w:t>
      </w:r>
    </w:p>
    <w:p w14:paraId="0EE2ACC9" w14:textId="77777777" w:rsidR="00CF0E69" w:rsidRPr="00EF1DC1" w:rsidRDefault="00CF0E69">
      <w:pPr>
        <w:rPr>
          <w:sz w:val="22"/>
          <w:szCs w:val="22"/>
        </w:rPr>
      </w:pPr>
    </w:p>
    <w:p w14:paraId="3EF5B03E" w14:textId="235F96EC" w:rsidR="00031CCE" w:rsidRPr="00EF1DC1" w:rsidRDefault="00C8180B" w:rsidP="00AD61D0">
      <w:pPr>
        <w:jc w:val="both"/>
        <w:rPr>
          <w:i/>
          <w:iCs/>
          <w:sz w:val="22"/>
          <w:szCs w:val="22"/>
        </w:rPr>
      </w:pPr>
      <w:r w:rsidRPr="00EF1DC1">
        <w:rPr>
          <w:b/>
          <w:bCs/>
          <w:i/>
          <w:iCs/>
          <w:noProof/>
        </w:rPr>
        <w:lastRenderedPageBreak/>
        <w:drawing>
          <wp:inline distT="0" distB="0" distL="0" distR="0" wp14:anchorId="252DA76A" wp14:editId="3DD4AFF8">
            <wp:extent cx="5943600" cy="2971800"/>
            <wp:effectExtent l="0" t="0" r="0" b="0"/>
            <wp:docPr id="1891015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015247" name=""/>
                    <pic:cNvPicPr/>
                  </pic:nvPicPr>
                  <pic:blipFill>
                    <a:blip r:embed="rId8"/>
                    <a:stretch>
                      <a:fillRect/>
                    </a:stretch>
                  </pic:blipFill>
                  <pic:spPr>
                    <a:xfrm>
                      <a:off x="0" y="0"/>
                      <a:ext cx="5943600" cy="2971800"/>
                    </a:xfrm>
                    <a:prstGeom prst="rect">
                      <a:avLst/>
                    </a:prstGeom>
                  </pic:spPr>
                </pic:pic>
              </a:graphicData>
            </a:graphic>
          </wp:inline>
        </w:drawing>
      </w:r>
      <w:r w:rsidR="00AD61D0" w:rsidRPr="00EF1DC1">
        <w:rPr>
          <w:b/>
          <w:bCs/>
          <w:i/>
          <w:iCs/>
        </w:rPr>
        <w:t xml:space="preserve"> </w:t>
      </w:r>
      <w:r w:rsidR="00031CCE" w:rsidRPr="00EF1DC1">
        <w:rPr>
          <w:b/>
          <w:bCs/>
          <w:i/>
          <w:iCs/>
          <w:sz w:val="22"/>
          <w:szCs w:val="22"/>
        </w:rPr>
        <w:t>Figure S</w:t>
      </w:r>
      <w:r w:rsidR="0098577C" w:rsidRPr="00EF1DC1">
        <w:rPr>
          <w:b/>
          <w:bCs/>
          <w:i/>
          <w:iCs/>
          <w:sz w:val="22"/>
          <w:szCs w:val="22"/>
        </w:rPr>
        <w:t>2</w:t>
      </w:r>
      <w:r w:rsidR="00031CCE" w:rsidRPr="00EF1DC1">
        <w:rPr>
          <w:b/>
          <w:bCs/>
          <w:i/>
          <w:iCs/>
          <w:sz w:val="22"/>
          <w:szCs w:val="22"/>
        </w:rPr>
        <w:t xml:space="preserve">. </w:t>
      </w:r>
      <w:r w:rsidR="00CF3667" w:rsidRPr="00EF1DC1">
        <w:rPr>
          <w:b/>
          <w:bCs/>
          <w:i/>
          <w:iCs/>
          <w:sz w:val="22"/>
          <w:szCs w:val="22"/>
        </w:rPr>
        <w:t>Combined geochemical data vs. age.</w:t>
      </w:r>
      <w:r w:rsidR="00CF3667" w:rsidRPr="00EF1DC1">
        <w:rPr>
          <w:sz w:val="22"/>
          <w:szCs w:val="22"/>
        </w:rPr>
        <w:t xml:space="preserve"> Data from all three sections discussed in this study are presented. </w:t>
      </w:r>
      <w:proofErr w:type="spellStart"/>
      <w:r w:rsidR="00CF3667" w:rsidRPr="00EF1DC1">
        <w:rPr>
          <w:sz w:val="22"/>
          <w:szCs w:val="22"/>
        </w:rPr>
        <w:t>Taşkent</w:t>
      </w:r>
      <w:proofErr w:type="spellEnd"/>
      <w:r w:rsidR="00CF3667" w:rsidRPr="00EF1DC1">
        <w:rPr>
          <w:sz w:val="22"/>
          <w:szCs w:val="22"/>
        </w:rPr>
        <w:t xml:space="preserve"> (green) and </w:t>
      </w:r>
      <w:proofErr w:type="spellStart"/>
      <w:r w:rsidR="00CF3667" w:rsidRPr="00EF1DC1">
        <w:rPr>
          <w:sz w:val="22"/>
          <w:szCs w:val="22"/>
        </w:rPr>
        <w:t>Takachiho</w:t>
      </w:r>
      <w:proofErr w:type="spellEnd"/>
      <w:r w:rsidR="00CF3667" w:rsidRPr="00EF1DC1">
        <w:rPr>
          <w:sz w:val="22"/>
          <w:szCs w:val="22"/>
        </w:rPr>
        <w:t xml:space="preserve"> (orange) are from this paper, and </w:t>
      </w:r>
      <w:proofErr w:type="spellStart"/>
      <w:r w:rsidR="00CF3667" w:rsidRPr="00EF1DC1">
        <w:rPr>
          <w:sz w:val="22"/>
          <w:szCs w:val="22"/>
        </w:rPr>
        <w:t>Shanggang</w:t>
      </w:r>
      <w:proofErr w:type="spellEnd"/>
      <w:r w:rsidR="00CF3667" w:rsidRPr="00EF1DC1">
        <w:rPr>
          <w:sz w:val="22"/>
          <w:szCs w:val="22"/>
        </w:rPr>
        <w:t xml:space="preserve"> and </w:t>
      </w:r>
      <w:proofErr w:type="spellStart"/>
      <w:r w:rsidR="00CF3667" w:rsidRPr="00EF1DC1">
        <w:rPr>
          <w:sz w:val="22"/>
          <w:szCs w:val="22"/>
        </w:rPr>
        <w:t>Shangsi</w:t>
      </w:r>
      <w:proofErr w:type="spellEnd"/>
      <w:r w:rsidR="00CF3667" w:rsidRPr="00EF1DC1">
        <w:rPr>
          <w:sz w:val="22"/>
          <w:szCs w:val="22"/>
        </w:rPr>
        <w:t xml:space="preserve"> (South China, purple) are from Cao et al. (2022). E</w:t>
      </w:r>
      <w:r w:rsidRPr="00EF1DC1">
        <w:rPr>
          <w:sz w:val="22"/>
          <w:szCs w:val="22"/>
        </w:rPr>
        <w:t>xcept for Mn/Sr, e</w:t>
      </w:r>
      <w:r w:rsidR="00CF3667" w:rsidRPr="00EF1DC1">
        <w:rPr>
          <w:sz w:val="22"/>
          <w:szCs w:val="22"/>
        </w:rPr>
        <w:t>lemental ratios are shown on a logarithmic scale.</w:t>
      </w:r>
      <w:r w:rsidR="00AD61D0" w:rsidRPr="00EF1DC1">
        <w:rPr>
          <w:sz w:val="22"/>
          <w:szCs w:val="22"/>
        </w:rPr>
        <w:t xml:space="preserve"> L. Pm. = Late Permian, In = </w:t>
      </w:r>
      <w:proofErr w:type="spellStart"/>
      <w:r w:rsidR="00AD61D0" w:rsidRPr="00EF1DC1">
        <w:rPr>
          <w:sz w:val="22"/>
          <w:szCs w:val="22"/>
        </w:rPr>
        <w:t>Induan</w:t>
      </w:r>
      <w:proofErr w:type="spellEnd"/>
      <w:r w:rsidR="005924BC" w:rsidRPr="00EF1DC1">
        <w:rPr>
          <w:sz w:val="22"/>
          <w:szCs w:val="22"/>
        </w:rPr>
        <w:t>, L. Tr. = Late Triassic</w:t>
      </w:r>
      <w:r w:rsidR="00AD61D0" w:rsidRPr="00EF1DC1">
        <w:rPr>
          <w:sz w:val="22"/>
          <w:szCs w:val="22"/>
        </w:rPr>
        <w:t>.</w:t>
      </w:r>
    </w:p>
    <w:p w14:paraId="77FADABC" w14:textId="77777777" w:rsidR="00031CCE" w:rsidRPr="00EF1DC1" w:rsidRDefault="00031CCE" w:rsidP="00031CCE">
      <w:pPr>
        <w:spacing w:line="360" w:lineRule="auto"/>
      </w:pPr>
    </w:p>
    <w:p w14:paraId="3CF01A14" w14:textId="77777777" w:rsidR="00174ADC" w:rsidRPr="00EF1DC1" w:rsidRDefault="00174ADC" w:rsidP="00031CCE">
      <w:pPr>
        <w:spacing w:line="360" w:lineRule="auto"/>
      </w:pPr>
    </w:p>
    <w:p w14:paraId="49077BC7" w14:textId="77777777" w:rsidR="00174ADC" w:rsidRPr="00EF1DC1" w:rsidRDefault="00174ADC" w:rsidP="00031CCE">
      <w:pPr>
        <w:spacing w:line="360" w:lineRule="auto"/>
      </w:pPr>
    </w:p>
    <w:p w14:paraId="5682E865" w14:textId="1799FAC8" w:rsidR="001E6269" w:rsidRPr="00EF1DC1" w:rsidRDefault="007D04B4" w:rsidP="00031CCE">
      <w:pPr>
        <w:spacing w:line="360" w:lineRule="auto"/>
      </w:pPr>
      <w:r w:rsidRPr="00EF1DC1">
        <w:rPr>
          <w:noProof/>
        </w:rPr>
        <w:drawing>
          <wp:inline distT="0" distB="0" distL="0" distR="0" wp14:anchorId="093689C0" wp14:editId="1B335CA7">
            <wp:extent cx="5943600" cy="1651000"/>
            <wp:effectExtent l="0" t="0" r="0" b="0"/>
            <wp:docPr id="12393242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324270" name=""/>
                    <pic:cNvPicPr/>
                  </pic:nvPicPr>
                  <pic:blipFill>
                    <a:blip r:embed="rId9"/>
                    <a:stretch>
                      <a:fillRect/>
                    </a:stretch>
                  </pic:blipFill>
                  <pic:spPr>
                    <a:xfrm>
                      <a:off x="0" y="0"/>
                      <a:ext cx="5943600" cy="1651000"/>
                    </a:xfrm>
                    <a:prstGeom prst="rect">
                      <a:avLst/>
                    </a:prstGeom>
                  </pic:spPr>
                </pic:pic>
              </a:graphicData>
            </a:graphic>
          </wp:inline>
        </w:drawing>
      </w:r>
    </w:p>
    <w:p w14:paraId="4303DDA3" w14:textId="7D7478B2" w:rsidR="001E6269" w:rsidRPr="00EF1DC1" w:rsidRDefault="001E6269" w:rsidP="001E6269">
      <w:pPr>
        <w:rPr>
          <w:b/>
          <w:bCs/>
          <w:i/>
          <w:iCs/>
          <w:sz w:val="22"/>
          <w:szCs w:val="22"/>
        </w:rPr>
      </w:pPr>
      <w:r w:rsidRPr="00EF1DC1">
        <w:rPr>
          <w:b/>
          <w:bCs/>
          <w:i/>
          <w:iCs/>
          <w:sz w:val="22"/>
          <w:szCs w:val="22"/>
        </w:rPr>
        <w:t>Figure S3. Carbonate content vs. key geochemical data.</w:t>
      </w:r>
      <w:r w:rsidRPr="00EF1DC1">
        <w:rPr>
          <w:sz w:val="22"/>
          <w:szCs w:val="22"/>
        </w:rPr>
        <w:t xml:space="preserve"> Data from </w:t>
      </w:r>
      <w:proofErr w:type="spellStart"/>
      <w:r w:rsidRPr="00EF1DC1">
        <w:rPr>
          <w:sz w:val="22"/>
          <w:szCs w:val="22"/>
        </w:rPr>
        <w:t>Taşkent</w:t>
      </w:r>
      <w:proofErr w:type="spellEnd"/>
      <w:r w:rsidRPr="00EF1DC1">
        <w:rPr>
          <w:sz w:val="22"/>
          <w:szCs w:val="22"/>
        </w:rPr>
        <w:t xml:space="preserve"> are compared to d</w:t>
      </w:r>
      <w:r w:rsidRPr="00EF1DC1">
        <w:rPr>
          <w:sz w:val="22"/>
          <w:szCs w:val="22"/>
          <w:vertAlign w:val="superscript"/>
        </w:rPr>
        <w:t>7</w:t>
      </w:r>
      <w:r w:rsidRPr="00EF1DC1">
        <w:rPr>
          <w:sz w:val="22"/>
          <w:szCs w:val="22"/>
        </w:rPr>
        <w:t>Li</w:t>
      </w:r>
      <w:r w:rsidRPr="00EF1DC1">
        <w:rPr>
          <w:sz w:val="22"/>
          <w:szCs w:val="22"/>
          <w:vertAlign w:val="subscript"/>
        </w:rPr>
        <w:t>carb</w:t>
      </w:r>
      <w:r w:rsidRPr="00EF1DC1">
        <w:rPr>
          <w:sz w:val="22"/>
          <w:szCs w:val="22"/>
        </w:rPr>
        <w:t xml:space="preserve">, the 2SD of the analysis, Li/Ca ratios, Li concentrations, and Al/Ca ratios. Carbonate content is estimated from the sample mass and pressure observed during C and O isotope analysis. No relationship is observed between samples with lower carbonate content and Li isotope or </w:t>
      </w:r>
      <w:proofErr w:type="gramStart"/>
      <w:r w:rsidRPr="00EF1DC1">
        <w:rPr>
          <w:sz w:val="22"/>
          <w:szCs w:val="22"/>
        </w:rPr>
        <w:t>concentration</w:t>
      </w:r>
      <w:proofErr w:type="gramEnd"/>
      <w:r w:rsidRPr="00EF1DC1">
        <w:rPr>
          <w:sz w:val="22"/>
          <w:szCs w:val="22"/>
        </w:rPr>
        <w:t xml:space="preserve"> nor do we observe a relationship between Al concentration, as would be expected if the leach procedure was </w:t>
      </w:r>
      <w:r w:rsidR="00B31769" w:rsidRPr="00EF1DC1">
        <w:rPr>
          <w:sz w:val="22"/>
          <w:szCs w:val="22"/>
        </w:rPr>
        <w:t>liberating siliciclastic Li.</w:t>
      </w:r>
    </w:p>
    <w:p w14:paraId="3A0DE2B0" w14:textId="5D4A2591" w:rsidR="000B2EAF" w:rsidRPr="00EF1DC1" w:rsidRDefault="00D911F4" w:rsidP="006308DE">
      <w:pPr>
        <w:rPr>
          <w:sz w:val="22"/>
          <w:szCs w:val="22"/>
        </w:rPr>
      </w:pPr>
      <w:r w:rsidRPr="00EF1DC1">
        <w:rPr>
          <w:b/>
          <w:bCs/>
          <w:i/>
          <w:iCs/>
          <w:noProof/>
          <w:sz w:val="22"/>
          <w:szCs w:val="22"/>
        </w:rPr>
        <w:lastRenderedPageBreak/>
        <w:drawing>
          <wp:anchor distT="0" distB="0" distL="114300" distR="114300" simplePos="0" relativeHeight="251658240" behindDoc="0" locked="0" layoutInCell="1" allowOverlap="1" wp14:anchorId="22413AEF" wp14:editId="58E3BC74">
            <wp:simplePos x="0" y="0"/>
            <wp:positionH relativeFrom="column">
              <wp:posOffset>3039110</wp:posOffset>
            </wp:positionH>
            <wp:positionV relativeFrom="paragraph">
              <wp:posOffset>0</wp:posOffset>
            </wp:positionV>
            <wp:extent cx="2626995" cy="3284855"/>
            <wp:effectExtent l="0" t="0" r="0" b="0"/>
            <wp:wrapSquare wrapText="bothSides"/>
            <wp:docPr id="9293702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370283" name=""/>
                    <pic:cNvPicPr/>
                  </pic:nvPicPr>
                  <pic:blipFill>
                    <a:blip r:embed="rId10"/>
                    <a:stretch>
                      <a:fillRect/>
                    </a:stretch>
                  </pic:blipFill>
                  <pic:spPr>
                    <a:xfrm>
                      <a:off x="0" y="0"/>
                      <a:ext cx="2626995" cy="3284855"/>
                    </a:xfrm>
                    <a:prstGeom prst="rect">
                      <a:avLst/>
                    </a:prstGeom>
                  </pic:spPr>
                </pic:pic>
              </a:graphicData>
            </a:graphic>
            <wp14:sizeRelH relativeFrom="page">
              <wp14:pctWidth>0</wp14:pctWidth>
            </wp14:sizeRelH>
            <wp14:sizeRelV relativeFrom="page">
              <wp14:pctHeight>0</wp14:pctHeight>
            </wp14:sizeRelV>
          </wp:anchor>
        </w:drawing>
      </w:r>
      <w:r w:rsidRPr="00EF1DC1">
        <w:rPr>
          <w:b/>
          <w:bCs/>
          <w:i/>
          <w:iCs/>
          <w:noProof/>
          <w:sz w:val="22"/>
          <w:szCs w:val="22"/>
        </w:rPr>
        <w:drawing>
          <wp:anchor distT="0" distB="0" distL="114300" distR="114300" simplePos="0" relativeHeight="251659264" behindDoc="0" locked="0" layoutInCell="1" allowOverlap="1" wp14:anchorId="791C3BA6" wp14:editId="7A637524">
            <wp:simplePos x="0" y="0"/>
            <wp:positionH relativeFrom="column">
              <wp:posOffset>101600</wp:posOffset>
            </wp:positionH>
            <wp:positionV relativeFrom="paragraph">
              <wp:posOffset>0</wp:posOffset>
            </wp:positionV>
            <wp:extent cx="2627630" cy="3284855"/>
            <wp:effectExtent l="0" t="0" r="0" b="0"/>
            <wp:wrapSquare wrapText="bothSides"/>
            <wp:docPr id="4454763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476379" name=""/>
                    <pic:cNvPicPr/>
                  </pic:nvPicPr>
                  <pic:blipFill>
                    <a:blip r:embed="rId11"/>
                    <a:stretch>
                      <a:fillRect/>
                    </a:stretch>
                  </pic:blipFill>
                  <pic:spPr>
                    <a:xfrm>
                      <a:off x="0" y="0"/>
                      <a:ext cx="2627630" cy="3284855"/>
                    </a:xfrm>
                    <a:prstGeom prst="rect">
                      <a:avLst/>
                    </a:prstGeom>
                  </pic:spPr>
                </pic:pic>
              </a:graphicData>
            </a:graphic>
            <wp14:sizeRelH relativeFrom="page">
              <wp14:pctWidth>0</wp14:pctWidth>
            </wp14:sizeRelH>
            <wp14:sizeRelV relativeFrom="page">
              <wp14:pctHeight>0</wp14:pctHeight>
            </wp14:sizeRelV>
          </wp:anchor>
        </w:drawing>
      </w:r>
      <w:r w:rsidR="001E6269" w:rsidRPr="00EF1DC1">
        <w:rPr>
          <w:b/>
          <w:bCs/>
          <w:i/>
          <w:iCs/>
          <w:sz w:val="22"/>
          <w:szCs w:val="22"/>
        </w:rPr>
        <w:t>Figure S</w:t>
      </w:r>
      <w:r w:rsidR="00B31769" w:rsidRPr="00EF1DC1">
        <w:rPr>
          <w:b/>
          <w:bCs/>
          <w:i/>
          <w:iCs/>
          <w:sz w:val="22"/>
          <w:szCs w:val="22"/>
        </w:rPr>
        <w:t>4</w:t>
      </w:r>
      <w:r w:rsidR="001E6269" w:rsidRPr="00EF1DC1">
        <w:rPr>
          <w:b/>
          <w:bCs/>
          <w:i/>
          <w:iCs/>
          <w:sz w:val="22"/>
          <w:szCs w:val="22"/>
        </w:rPr>
        <w:t xml:space="preserve">. </w:t>
      </w:r>
      <w:r w:rsidR="00B31769" w:rsidRPr="00EF1DC1">
        <w:rPr>
          <w:b/>
          <w:bCs/>
          <w:sz w:val="22"/>
          <w:szCs w:val="22"/>
        </w:rPr>
        <w:t>d</w:t>
      </w:r>
      <w:r w:rsidR="00B31769" w:rsidRPr="00EF1DC1">
        <w:rPr>
          <w:b/>
          <w:bCs/>
          <w:i/>
          <w:iCs/>
          <w:sz w:val="22"/>
          <w:szCs w:val="22"/>
          <w:vertAlign w:val="superscript"/>
        </w:rPr>
        <w:t>7</w:t>
      </w:r>
      <w:r w:rsidR="00B31769" w:rsidRPr="00EF1DC1">
        <w:rPr>
          <w:b/>
          <w:bCs/>
          <w:i/>
          <w:iCs/>
          <w:sz w:val="22"/>
          <w:szCs w:val="22"/>
        </w:rPr>
        <w:t>Li</w:t>
      </w:r>
      <w:r w:rsidR="00B31769" w:rsidRPr="00EF1DC1">
        <w:rPr>
          <w:b/>
          <w:bCs/>
          <w:i/>
          <w:iCs/>
          <w:sz w:val="22"/>
          <w:szCs w:val="22"/>
          <w:vertAlign w:val="subscript"/>
        </w:rPr>
        <w:t>carb</w:t>
      </w:r>
      <w:r w:rsidR="00B31769" w:rsidRPr="00EF1DC1">
        <w:rPr>
          <w:b/>
          <w:bCs/>
          <w:i/>
          <w:iCs/>
          <w:sz w:val="22"/>
          <w:szCs w:val="22"/>
        </w:rPr>
        <w:t xml:space="preserve"> from </w:t>
      </w:r>
      <w:proofErr w:type="spellStart"/>
      <w:r w:rsidR="00B31769" w:rsidRPr="00EF1DC1">
        <w:rPr>
          <w:b/>
          <w:bCs/>
          <w:i/>
          <w:iCs/>
          <w:sz w:val="22"/>
          <w:szCs w:val="22"/>
        </w:rPr>
        <w:t>Taşkent</w:t>
      </w:r>
      <w:proofErr w:type="spellEnd"/>
      <w:r w:rsidR="00B31769" w:rsidRPr="00EF1DC1">
        <w:rPr>
          <w:b/>
          <w:bCs/>
          <w:i/>
          <w:iCs/>
          <w:sz w:val="22"/>
          <w:szCs w:val="22"/>
        </w:rPr>
        <w:t xml:space="preserve"> as a function of the estimated carbonate content</w:t>
      </w:r>
      <w:r w:rsidR="006308DE" w:rsidRPr="00EF1DC1">
        <w:rPr>
          <w:b/>
          <w:bCs/>
          <w:i/>
          <w:iCs/>
          <w:sz w:val="22"/>
          <w:szCs w:val="22"/>
        </w:rPr>
        <w:t xml:space="preserve"> (left) and Al/Ca (right)</w:t>
      </w:r>
      <w:r w:rsidR="00B31769" w:rsidRPr="00EF1DC1">
        <w:rPr>
          <w:b/>
          <w:bCs/>
          <w:i/>
          <w:iCs/>
          <w:sz w:val="22"/>
          <w:szCs w:val="22"/>
        </w:rPr>
        <w:t xml:space="preserve">. </w:t>
      </w:r>
      <w:r w:rsidR="00B31769" w:rsidRPr="00EF1DC1">
        <w:rPr>
          <w:sz w:val="22"/>
          <w:szCs w:val="22"/>
        </w:rPr>
        <w:t>The stratigraphic intervals with low d</w:t>
      </w:r>
      <w:r w:rsidR="00B31769" w:rsidRPr="00EF1DC1">
        <w:rPr>
          <w:sz w:val="22"/>
          <w:szCs w:val="22"/>
          <w:vertAlign w:val="superscript"/>
        </w:rPr>
        <w:t>7</w:t>
      </w:r>
      <w:r w:rsidR="00B31769" w:rsidRPr="00EF1DC1">
        <w:rPr>
          <w:sz w:val="22"/>
          <w:szCs w:val="22"/>
        </w:rPr>
        <w:t>Li</w:t>
      </w:r>
      <w:r w:rsidR="00B31769" w:rsidRPr="00EF1DC1">
        <w:rPr>
          <w:sz w:val="22"/>
          <w:szCs w:val="22"/>
          <w:vertAlign w:val="subscript"/>
        </w:rPr>
        <w:t>carb</w:t>
      </w:r>
      <w:r w:rsidR="00B31769" w:rsidRPr="00EF1DC1">
        <w:rPr>
          <w:sz w:val="22"/>
          <w:szCs w:val="22"/>
        </w:rPr>
        <w:t xml:space="preserve"> are not characterized by distinctly low</w:t>
      </w:r>
      <w:r w:rsidR="006308DE" w:rsidRPr="00EF1DC1">
        <w:rPr>
          <w:sz w:val="22"/>
          <w:szCs w:val="22"/>
        </w:rPr>
        <w:t>/high</w:t>
      </w:r>
      <w:r w:rsidR="00B31769" w:rsidRPr="00EF1DC1">
        <w:rPr>
          <w:sz w:val="22"/>
          <w:szCs w:val="22"/>
        </w:rPr>
        <w:t xml:space="preserve"> carbonate contents</w:t>
      </w:r>
      <w:r w:rsidR="006308DE" w:rsidRPr="00EF1DC1">
        <w:rPr>
          <w:sz w:val="22"/>
          <w:szCs w:val="22"/>
        </w:rPr>
        <w:t xml:space="preserve"> or low/high Al/Ca</w:t>
      </w:r>
      <w:r w:rsidR="00B31769" w:rsidRPr="00EF1DC1">
        <w:rPr>
          <w:sz w:val="22"/>
          <w:szCs w:val="22"/>
        </w:rPr>
        <w:t>.</w:t>
      </w:r>
    </w:p>
    <w:p w14:paraId="1A05548E" w14:textId="77777777" w:rsidR="007D04B4" w:rsidRPr="00EF1DC1" w:rsidRDefault="007D04B4" w:rsidP="006308DE">
      <w:pPr>
        <w:rPr>
          <w:b/>
          <w:bCs/>
          <w:i/>
          <w:iCs/>
          <w:sz w:val="22"/>
          <w:szCs w:val="22"/>
        </w:rPr>
      </w:pPr>
    </w:p>
    <w:p w14:paraId="0794F5EA" w14:textId="33FD3243" w:rsidR="008A5A5C" w:rsidRPr="00EF1DC1" w:rsidRDefault="007D04B4" w:rsidP="000B2EAF">
      <w:pPr>
        <w:spacing w:line="360" w:lineRule="auto"/>
        <w:jc w:val="center"/>
        <w:rPr>
          <w:sz w:val="22"/>
          <w:szCs w:val="22"/>
        </w:rPr>
      </w:pPr>
      <w:r w:rsidRPr="00EF1DC1">
        <w:rPr>
          <w:noProof/>
        </w:rPr>
        <w:drawing>
          <wp:inline distT="0" distB="0" distL="0" distR="0" wp14:anchorId="6DE3B2E5" wp14:editId="080E48A7">
            <wp:extent cx="2716106" cy="3395133"/>
            <wp:effectExtent l="0" t="0" r="0" b="0"/>
            <wp:docPr id="19619785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978599" name=""/>
                    <pic:cNvPicPr/>
                  </pic:nvPicPr>
                  <pic:blipFill>
                    <a:blip r:embed="rId12"/>
                    <a:stretch>
                      <a:fillRect/>
                    </a:stretch>
                  </pic:blipFill>
                  <pic:spPr>
                    <a:xfrm>
                      <a:off x="0" y="0"/>
                      <a:ext cx="2765767" cy="3457210"/>
                    </a:xfrm>
                    <a:prstGeom prst="rect">
                      <a:avLst/>
                    </a:prstGeom>
                  </pic:spPr>
                </pic:pic>
              </a:graphicData>
            </a:graphic>
          </wp:inline>
        </w:drawing>
      </w:r>
      <w:r w:rsidRPr="00EF1DC1">
        <w:rPr>
          <w:noProof/>
        </w:rPr>
        <w:t xml:space="preserve"> </w:t>
      </w:r>
      <w:r w:rsidRPr="00EF1DC1">
        <w:rPr>
          <w:noProof/>
        </w:rPr>
        <w:drawing>
          <wp:inline distT="0" distB="0" distL="0" distR="0" wp14:anchorId="7C2DD07E" wp14:editId="698B6A64">
            <wp:extent cx="2709333" cy="3386666"/>
            <wp:effectExtent l="0" t="0" r="0" b="0"/>
            <wp:docPr id="16551022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102278" name=""/>
                    <pic:cNvPicPr/>
                  </pic:nvPicPr>
                  <pic:blipFill>
                    <a:blip r:embed="rId13"/>
                    <a:stretch>
                      <a:fillRect/>
                    </a:stretch>
                  </pic:blipFill>
                  <pic:spPr>
                    <a:xfrm>
                      <a:off x="0" y="0"/>
                      <a:ext cx="2778830" cy="3473537"/>
                    </a:xfrm>
                    <a:prstGeom prst="rect">
                      <a:avLst/>
                    </a:prstGeom>
                  </pic:spPr>
                </pic:pic>
              </a:graphicData>
            </a:graphic>
          </wp:inline>
        </w:drawing>
      </w:r>
    </w:p>
    <w:p w14:paraId="5B9696F8" w14:textId="2C7B3702" w:rsidR="00537663" w:rsidRPr="00EF1DC1" w:rsidRDefault="001E6269" w:rsidP="00E15CF2">
      <w:pPr>
        <w:rPr>
          <w:sz w:val="22"/>
          <w:szCs w:val="22"/>
        </w:rPr>
      </w:pPr>
      <w:r w:rsidRPr="00EF1DC1">
        <w:rPr>
          <w:b/>
          <w:bCs/>
          <w:i/>
          <w:iCs/>
          <w:sz w:val="22"/>
          <w:szCs w:val="22"/>
        </w:rPr>
        <w:t>Figure S</w:t>
      </w:r>
      <w:r w:rsidR="00B31769" w:rsidRPr="00EF1DC1">
        <w:rPr>
          <w:b/>
          <w:bCs/>
          <w:i/>
          <w:iCs/>
          <w:sz w:val="22"/>
          <w:szCs w:val="22"/>
        </w:rPr>
        <w:t>5</w:t>
      </w:r>
      <w:r w:rsidRPr="00EF1DC1">
        <w:rPr>
          <w:b/>
          <w:bCs/>
          <w:i/>
          <w:iCs/>
          <w:sz w:val="22"/>
          <w:szCs w:val="22"/>
        </w:rPr>
        <w:t xml:space="preserve">. </w:t>
      </w:r>
      <w:r w:rsidR="00B31769" w:rsidRPr="00EF1DC1">
        <w:rPr>
          <w:b/>
          <w:bCs/>
          <w:sz w:val="22"/>
          <w:szCs w:val="22"/>
        </w:rPr>
        <w:t>d</w:t>
      </w:r>
      <w:r w:rsidR="00B31769" w:rsidRPr="00EF1DC1">
        <w:rPr>
          <w:b/>
          <w:bCs/>
          <w:i/>
          <w:iCs/>
          <w:sz w:val="22"/>
          <w:szCs w:val="22"/>
          <w:vertAlign w:val="superscript"/>
        </w:rPr>
        <w:t>7</w:t>
      </w:r>
      <w:r w:rsidR="00B31769" w:rsidRPr="00EF1DC1">
        <w:rPr>
          <w:b/>
          <w:bCs/>
          <w:i/>
          <w:iCs/>
          <w:sz w:val="22"/>
          <w:szCs w:val="22"/>
        </w:rPr>
        <w:t>Li</w:t>
      </w:r>
      <w:r w:rsidR="00B31769" w:rsidRPr="00EF1DC1">
        <w:rPr>
          <w:b/>
          <w:bCs/>
          <w:i/>
          <w:iCs/>
          <w:sz w:val="22"/>
          <w:szCs w:val="22"/>
          <w:vertAlign w:val="subscript"/>
        </w:rPr>
        <w:t>carb</w:t>
      </w:r>
      <w:r w:rsidR="00B31769" w:rsidRPr="00EF1DC1">
        <w:rPr>
          <w:b/>
          <w:bCs/>
          <w:i/>
          <w:iCs/>
          <w:sz w:val="22"/>
          <w:szCs w:val="22"/>
        </w:rPr>
        <w:t xml:space="preserve"> from </w:t>
      </w:r>
      <w:proofErr w:type="spellStart"/>
      <w:r w:rsidR="00B31769" w:rsidRPr="00EF1DC1">
        <w:rPr>
          <w:b/>
          <w:bCs/>
          <w:i/>
          <w:iCs/>
          <w:sz w:val="22"/>
          <w:szCs w:val="22"/>
        </w:rPr>
        <w:t>Takachiho</w:t>
      </w:r>
      <w:proofErr w:type="spellEnd"/>
      <w:r w:rsidR="00B31769" w:rsidRPr="00EF1DC1">
        <w:rPr>
          <w:b/>
          <w:bCs/>
          <w:i/>
          <w:iCs/>
          <w:sz w:val="22"/>
          <w:szCs w:val="22"/>
        </w:rPr>
        <w:t xml:space="preserve"> </w:t>
      </w:r>
      <w:r w:rsidR="00537663" w:rsidRPr="00EF1DC1">
        <w:rPr>
          <w:b/>
          <w:bCs/>
          <w:i/>
          <w:iCs/>
          <w:sz w:val="22"/>
          <w:szCs w:val="22"/>
        </w:rPr>
        <w:t xml:space="preserve">(left) </w:t>
      </w:r>
      <w:r w:rsidR="00B31769" w:rsidRPr="00EF1DC1">
        <w:rPr>
          <w:b/>
          <w:bCs/>
          <w:i/>
          <w:iCs/>
          <w:sz w:val="22"/>
          <w:szCs w:val="22"/>
        </w:rPr>
        <w:t>as a function of Mn/Sr ratios</w:t>
      </w:r>
      <w:r w:rsidR="00537663" w:rsidRPr="00EF1DC1">
        <w:rPr>
          <w:b/>
          <w:bCs/>
          <w:i/>
          <w:iCs/>
          <w:sz w:val="22"/>
          <w:szCs w:val="22"/>
        </w:rPr>
        <w:t xml:space="preserve"> and (right) with a stricter Al/Ca cutoff of 0.12 mmol/mol</w:t>
      </w:r>
      <w:r w:rsidRPr="00EF1DC1">
        <w:rPr>
          <w:b/>
          <w:bCs/>
          <w:i/>
          <w:iCs/>
          <w:sz w:val="22"/>
          <w:szCs w:val="22"/>
        </w:rPr>
        <w:t>.</w:t>
      </w:r>
      <w:r w:rsidRPr="00EF1DC1">
        <w:rPr>
          <w:sz w:val="22"/>
          <w:szCs w:val="22"/>
        </w:rPr>
        <w:t xml:space="preserve"> </w:t>
      </w:r>
      <w:r w:rsidR="00B31769" w:rsidRPr="00EF1DC1">
        <w:rPr>
          <w:sz w:val="22"/>
          <w:szCs w:val="22"/>
        </w:rPr>
        <w:t>The stratigraphic intervals with low d</w:t>
      </w:r>
      <w:r w:rsidR="00B31769" w:rsidRPr="00EF1DC1">
        <w:rPr>
          <w:sz w:val="22"/>
          <w:szCs w:val="22"/>
          <w:vertAlign w:val="superscript"/>
        </w:rPr>
        <w:t>7</w:t>
      </w:r>
      <w:r w:rsidR="00B31769" w:rsidRPr="00EF1DC1">
        <w:rPr>
          <w:sz w:val="22"/>
          <w:szCs w:val="22"/>
        </w:rPr>
        <w:t>Li</w:t>
      </w:r>
      <w:r w:rsidR="00B31769" w:rsidRPr="00EF1DC1">
        <w:rPr>
          <w:sz w:val="22"/>
          <w:szCs w:val="22"/>
          <w:vertAlign w:val="subscript"/>
        </w:rPr>
        <w:t>carb</w:t>
      </w:r>
      <w:r w:rsidR="00B31769" w:rsidRPr="00EF1DC1">
        <w:rPr>
          <w:sz w:val="22"/>
          <w:szCs w:val="22"/>
        </w:rPr>
        <w:t xml:space="preserve"> are not characterized by high Mn/Sr</w:t>
      </w:r>
      <w:r w:rsidR="00537663" w:rsidRPr="00EF1DC1">
        <w:rPr>
          <w:sz w:val="22"/>
          <w:szCs w:val="22"/>
        </w:rPr>
        <w:t>. The observed pattern of low d</w:t>
      </w:r>
      <w:r w:rsidR="00537663" w:rsidRPr="00EF1DC1">
        <w:rPr>
          <w:sz w:val="22"/>
          <w:szCs w:val="22"/>
          <w:vertAlign w:val="superscript"/>
        </w:rPr>
        <w:t>7</w:t>
      </w:r>
      <w:r w:rsidR="00537663" w:rsidRPr="00EF1DC1">
        <w:rPr>
          <w:sz w:val="22"/>
          <w:szCs w:val="22"/>
        </w:rPr>
        <w:t>Li</w:t>
      </w:r>
      <w:r w:rsidR="00537663" w:rsidRPr="00EF1DC1">
        <w:rPr>
          <w:sz w:val="22"/>
          <w:szCs w:val="22"/>
          <w:vertAlign w:val="subscript"/>
        </w:rPr>
        <w:t>carb</w:t>
      </w:r>
      <w:r w:rsidR="00537663" w:rsidRPr="00EF1DC1">
        <w:rPr>
          <w:sz w:val="22"/>
          <w:szCs w:val="22"/>
        </w:rPr>
        <w:t xml:space="preserve"> in the Early Triassic (45 to 75 m) and an increase in the Middle Triassic (</w:t>
      </w:r>
      <w:r w:rsidR="00174ADC" w:rsidRPr="00EF1DC1">
        <w:rPr>
          <w:sz w:val="22"/>
          <w:szCs w:val="22"/>
        </w:rPr>
        <w:t>&gt;</w:t>
      </w:r>
      <w:r w:rsidR="00537663" w:rsidRPr="00EF1DC1">
        <w:rPr>
          <w:sz w:val="22"/>
          <w:szCs w:val="22"/>
        </w:rPr>
        <w:t>75 m) is preserved in the dataset with the stricter cutoff.</w:t>
      </w:r>
    </w:p>
    <w:p w14:paraId="6A8FDF6D" w14:textId="77777777" w:rsidR="00174ADC" w:rsidRPr="00EF1DC1" w:rsidRDefault="00537663" w:rsidP="00174ADC">
      <w:pPr>
        <w:jc w:val="center"/>
        <w:rPr>
          <w:b/>
          <w:bCs/>
          <w:i/>
          <w:iCs/>
        </w:rPr>
      </w:pPr>
      <w:r w:rsidRPr="00EF1DC1">
        <w:rPr>
          <w:b/>
          <w:bCs/>
          <w:i/>
          <w:iCs/>
          <w:noProof/>
        </w:rPr>
        <w:lastRenderedPageBreak/>
        <w:drawing>
          <wp:inline distT="0" distB="0" distL="0" distR="0" wp14:anchorId="44AEA4BA" wp14:editId="481BA908">
            <wp:extent cx="3987165" cy="2743200"/>
            <wp:effectExtent l="0" t="0" r="635" b="0"/>
            <wp:docPr id="439191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191703" name=""/>
                    <pic:cNvPicPr/>
                  </pic:nvPicPr>
                  <pic:blipFill rotWithShape="1">
                    <a:blip r:embed="rId14"/>
                    <a:srcRect r="12791"/>
                    <a:stretch/>
                  </pic:blipFill>
                  <pic:spPr bwMode="auto">
                    <a:xfrm>
                      <a:off x="0" y="0"/>
                      <a:ext cx="3987165" cy="2743200"/>
                    </a:xfrm>
                    <a:prstGeom prst="rect">
                      <a:avLst/>
                    </a:prstGeom>
                    <a:ln>
                      <a:noFill/>
                    </a:ln>
                    <a:extLst>
                      <a:ext uri="{53640926-AAD7-44D8-BBD7-CCE9431645EC}">
                        <a14:shadowObscured xmlns:a14="http://schemas.microsoft.com/office/drawing/2010/main"/>
                      </a:ext>
                    </a:extLst>
                  </pic:spPr>
                </pic:pic>
              </a:graphicData>
            </a:graphic>
          </wp:inline>
        </w:drawing>
      </w:r>
    </w:p>
    <w:p w14:paraId="3E1FC6C0" w14:textId="18E6D541" w:rsidR="00E15CF2" w:rsidRPr="00EF1DC1" w:rsidRDefault="001E6269" w:rsidP="00E15CF2">
      <w:pPr>
        <w:rPr>
          <w:sz w:val="22"/>
          <w:szCs w:val="22"/>
        </w:rPr>
      </w:pPr>
      <w:r w:rsidRPr="00EF1DC1">
        <w:rPr>
          <w:b/>
          <w:bCs/>
          <w:i/>
          <w:iCs/>
          <w:sz w:val="22"/>
          <w:szCs w:val="22"/>
        </w:rPr>
        <w:t>Figure S</w:t>
      </w:r>
      <w:r w:rsidR="00B31769" w:rsidRPr="00EF1DC1">
        <w:rPr>
          <w:b/>
          <w:bCs/>
          <w:i/>
          <w:iCs/>
          <w:sz w:val="22"/>
          <w:szCs w:val="22"/>
        </w:rPr>
        <w:t>6</w:t>
      </w:r>
      <w:r w:rsidRPr="00EF1DC1">
        <w:rPr>
          <w:b/>
          <w:bCs/>
          <w:i/>
          <w:iCs/>
          <w:sz w:val="22"/>
          <w:szCs w:val="22"/>
        </w:rPr>
        <w:t xml:space="preserve">. </w:t>
      </w:r>
      <w:r w:rsidR="00B31769" w:rsidRPr="00EF1DC1">
        <w:rPr>
          <w:b/>
          <w:bCs/>
          <w:i/>
          <w:iCs/>
          <w:sz w:val="22"/>
          <w:szCs w:val="22"/>
        </w:rPr>
        <w:t>Comparison of Mn/Sr and Mg/Ca ratios</w:t>
      </w:r>
      <w:r w:rsidRPr="00EF1DC1">
        <w:rPr>
          <w:b/>
          <w:bCs/>
          <w:i/>
          <w:iCs/>
          <w:sz w:val="22"/>
          <w:szCs w:val="22"/>
        </w:rPr>
        <w:t>.</w:t>
      </w:r>
      <w:r w:rsidRPr="00EF1DC1">
        <w:rPr>
          <w:sz w:val="22"/>
          <w:szCs w:val="22"/>
        </w:rPr>
        <w:t xml:space="preserve"> Data from all three sections discussed in this study are presented. </w:t>
      </w:r>
      <w:proofErr w:type="spellStart"/>
      <w:r w:rsidRPr="00EF1DC1">
        <w:rPr>
          <w:sz w:val="22"/>
          <w:szCs w:val="22"/>
        </w:rPr>
        <w:t>Taşkent</w:t>
      </w:r>
      <w:proofErr w:type="spellEnd"/>
      <w:r w:rsidRPr="00EF1DC1">
        <w:rPr>
          <w:sz w:val="22"/>
          <w:szCs w:val="22"/>
        </w:rPr>
        <w:t xml:space="preserve"> (green) and </w:t>
      </w:r>
      <w:proofErr w:type="spellStart"/>
      <w:r w:rsidRPr="00EF1DC1">
        <w:rPr>
          <w:sz w:val="22"/>
          <w:szCs w:val="22"/>
        </w:rPr>
        <w:t>Takachiho</w:t>
      </w:r>
      <w:proofErr w:type="spellEnd"/>
      <w:r w:rsidRPr="00EF1DC1">
        <w:rPr>
          <w:sz w:val="22"/>
          <w:szCs w:val="22"/>
        </w:rPr>
        <w:t xml:space="preserve"> (orange) are from this paper, and </w:t>
      </w:r>
      <w:proofErr w:type="spellStart"/>
      <w:r w:rsidRPr="00EF1DC1">
        <w:rPr>
          <w:sz w:val="22"/>
          <w:szCs w:val="22"/>
        </w:rPr>
        <w:t>Shanggang</w:t>
      </w:r>
      <w:proofErr w:type="spellEnd"/>
      <w:r w:rsidRPr="00EF1DC1">
        <w:rPr>
          <w:sz w:val="22"/>
          <w:szCs w:val="22"/>
        </w:rPr>
        <w:t xml:space="preserve"> and </w:t>
      </w:r>
      <w:proofErr w:type="spellStart"/>
      <w:r w:rsidRPr="00EF1DC1">
        <w:rPr>
          <w:sz w:val="22"/>
          <w:szCs w:val="22"/>
        </w:rPr>
        <w:t>Shangsi</w:t>
      </w:r>
      <w:proofErr w:type="spellEnd"/>
      <w:r w:rsidRPr="00EF1DC1">
        <w:rPr>
          <w:sz w:val="22"/>
          <w:szCs w:val="22"/>
        </w:rPr>
        <w:t xml:space="preserve"> (South China, purple) are from Cao et al. (2022)</w:t>
      </w:r>
      <w:r w:rsidR="00B31769" w:rsidRPr="00EF1DC1">
        <w:rPr>
          <w:sz w:val="22"/>
          <w:szCs w:val="22"/>
        </w:rPr>
        <w:t>.</w:t>
      </w:r>
    </w:p>
    <w:p w14:paraId="64F7BE9A" w14:textId="77777777" w:rsidR="00174ADC" w:rsidRPr="00EF1DC1" w:rsidRDefault="00174ADC" w:rsidP="00E15CF2">
      <w:pPr>
        <w:rPr>
          <w:sz w:val="22"/>
          <w:szCs w:val="22"/>
        </w:rPr>
      </w:pPr>
    </w:p>
    <w:p w14:paraId="4126BE88" w14:textId="77777777" w:rsidR="00174ADC" w:rsidRPr="00EF1DC1" w:rsidRDefault="00174ADC" w:rsidP="00E15CF2">
      <w:pPr>
        <w:rPr>
          <w:sz w:val="22"/>
          <w:szCs w:val="22"/>
        </w:rPr>
      </w:pPr>
    </w:p>
    <w:p w14:paraId="785E4CC2" w14:textId="5768DA51" w:rsidR="00C3670D" w:rsidRPr="00EF1DC1" w:rsidRDefault="00C3670D" w:rsidP="00E15CF2">
      <w:r w:rsidRPr="00EF1DC1">
        <w:rPr>
          <w:noProof/>
        </w:rPr>
        <w:drawing>
          <wp:inline distT="0" distB="0" distL="0" distR="0" wp14:anchorId="6C8C3029" wp14:editId="16DCC9D6">
            <wp:extent cx="5943600" cy="3657600"/>
            <wp:effectExtent l="0" t="0" r="0" b="0"/>
            <wp:docPr id="1837366685" name="Picture 1" descr="A blue and yellow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366685" name="Picture 1" descr="A blue and yellow lines&#10;&#10;Description automatically generated"/>
                    <pic:cNvPicPr/>
                  </pic:nvPicPr>
                  <pic:blipFill>
                    <a:blip r:embed="rId15"/>
                    <a:stretch>
                      <a:fillRect/>
                    </a:stretch>
                  </pic:blipFill>
                  <pic:spPr>
                    <a:xfrm>
                      <a:off x="0" y="0"/>
                      <a:ext cx="5943600" cy="3657600"/>
                    </a:xfrm>
                    <a:prstGeom prst="rect">
                      <a:avLst/>
                    </a:prstGeom>
                  </pic:spPr>
                </pic:pic>
              </a:graphicData>
            </a:graphic>
          </wp:inline>
        </w:drawing>
      </w:r>
    </w:p>
    <w:p w14:paraId="3436AC0E" w14:textId="11AACEF4" w:rsidR="00D911F4" w:rsidRPr="00EF1DC1" w:rsidRDefault="00C3670D" w:rsidP="00E15CF2">
      <w:pPr>
        <w:rPr>
          <w:sz w:val="22"/>
          <w:szCs w:val="22"/>
        </w:rPr>
      </w:pPr>
      <w:r w:rsidRPr="00EF1DC1">
        <w:rPr>
          <w:b/>
          <w:bCs/>
          <w:i/>
          <w:iCs/>
          <w:sz w:val="22"/>
          <w:szCs w:val="22"/>
        </w:rPr>
        <w:t xml:space="preserve">Figure S7. </w:t>
      </w:r>
      <w:r w:rsidR="007546CA" w:rsidRPr="00EF1DC1">
        <w:rPr>
          <w:b/>
          <w:bCs/>
          <w:i/>
          <w:iCs/>
          <w:sz w:val="22"/>
          <w:szCs w:val="22"/>
        </w:rPr>
        <w:t xml:space="preserve">Rayleigh distillation modeling of </w:t>
      </w:r>
      <w:r w:rsidR="007546CA" w:rsidRPr="00EF1DC1">
        <w:rPr>
          <w:b/>
          <w:bCs/>
          <w:i/>
          <w:iCs/>
          <w:color w:val="000000"/>
          <w:sz w:val="22"/>
          <w:szCs w:val="22"/>
        </w:rPr>
        <w:t>δ</w:t>
      </w:r>
      <w:r w:rsidR="007546CA" w:rsidRPr="00EF1DC1">
        <w:rPr>
          <w:b/>
          <w:bCs/>
          <w:i/>
          <w:iCs/>
          <w:color w:val="000000"/>
          <w:sz w:val="22"/>
          <w:szCs w:val="22"/>
          <w:vertAlign w:val="superscript"/>
        </w:rPr>
        <w:t>7</w:t>
      </w:r>
      <w:r w:rsidR="007546CA" w:rsidRPr="00EF1DC1">
        <w:rPr>
          <w:b/>
          <w:bCs/>
          <w:i/>
          <w:iCs/>
          <w:color w:val="000000"/>
          <w:sz w:val="22"/>
          <w:szCs w:val="22"/>
        </w:rPr>
        <w:t>Li</w:t>
      </w:r>
      <w:r w:rsidRPr="00EF1DC1">
        <w:rPr>
          <w:b/>
          <w:bCs/>
          <w:i/>
          <w:iCs/>
          <w:sz w:val="22"/>
          <w:szCs w:val="22"/>
        </w:rPr>
        <w:t>.</w:t>
      </w:r>
      <w:r w:rsidRPr="00EF1DC1">
        <w:rPr>
          <w:sz w:val="22"/>
          <w:szCs w:val="22"/>
        </w:rPr>
        <w:t xml:space="preserve"> </w:t>
      </w:r>
      <w:r w:rsidR="007546CA" w:rsidRPr="00EF1DC1">
        <w:rPr>
          <w:sz w:val="22"/>
          <w:szCs w:val="22"/>
        </w:rPr>
        <w:t>The dissolved Li (solid lines) are shown relative to the accumulated and instantaneous clay product (dashed lines) for Rayleigh distillation (black lines) versus an equilibrium model (blue lines). For demonstration, the initial d</w:t>
      </w:r>
      <w:r w:rsidR="007546CA" w:rsidRPr="00EF1DC1">
        <w:rPr>
          <w:sz w:val="22"/>
          <w:szCs w:val="22"/>
          <w:vertAlign w:val="superscript"/>
        </w:rPr>
        <w:t>7</w:t>
      </w:r>
      <w:r w:rsidR="007546CA" w:rsidRPr="00EF1DC1">
        <w:rPr>
          <w:sz w:val="22"/>
          <w:szCs w:val="22"/>
        </w:rPr>
        <w:t>Li is the modern seawater value of 31‰.</w:t>
      </w:r>
    </w:p>
    <w:p w14:paraId="30CE8383" w14:textId="77777777" w:rsidR="00D911F4" w:rsidRPr="00EF1DC1" w:rsidRDefault="00D911F4" w:rsidP="00E15CF2">
      <w:pPr>
        <w:rPr>
          <w:b/>
          <w:bCs/>
          <w:i/>
          <w:iCs/>
          <w:sz w:val="22"/>
          <w:szCs w:val="22"/>
        </w:rPr>
      </w:pPr>
    </w:p>
    <w:p w14:paraId="4E7DBDD5" w14:textId="77777777" w:rsidR="00D911F4" w:rsidRDefault="00D911F4" w:rsidP="00E15CF2">
      <w:pPr>
        <w:rPr>
          <w:b/>
          <w:bCs/>
          <w:i/>
          <w:iCs/>
          <w:sz w:val="22"/>
          <w:szCs w:val="22"/>
        </w:rPr>
      </w:pPr>
    </w:p>
    <w:p w14:paraId="51A7FDB4" w14:textId="77777777" w:rsidR="00EF1DC1" w:rsidRPr="00EF1DC1" w:rsidRDefault="00EF1DC1" w:rsidP="00E15CF2">
      <w:pPr>
        <w:rPr>
          <w:b/>
          <w:bCs/>
          <w:i/>
          <w:iCs/>
          <w:sz w:val="22"/>
          <w:szCs w:val="22"/>
        </w:rPr>
      </w:pPr>
    </w:p>
    <w:p w14:paraId="2436ECDD" w14:textId="7D981580" w:rsidR="00D911F4" w:rsidRPr="00EF1DC1" w:rsidRDefault="003E41AA" w:rsidP="00E15CF2">
      <w:pPr>
        <w:rPr>
          <w:sz w:val="22"/>
          <w:szCs w:val="22"/>
        </w:rPr>
      </w:pPr>
      <w:r w:rsidRPr="00EF1DC1">
        <w:rPr>
          <w:b/>
          <w:bCs/>
          <w:i/>
          <w:iCs/>
          <w:sz w:val="22"/>
          <w:szCs w:val="22"/>
        </w:rPr>
        <w:lastRenderedPageBreak/>
        <w:t>Table S2. Summary of standards for Li isotope analyses.</w:t>
      </w:r>
      <w:r w:rsidRPr="00EF1DC1">
        <w:rPr>
          <w:i/>
          <w:iCs/>
          <w:sz w:val="22"/>
          <w:szCs w:val="22"/>
        </w:rPr>
        <w:t xml:space="preserve"> </w:t>
      </w:r>
      <w:r w:rsidRPr="00EF1DC1">
        <w:rPr>
          <w:sz w:val="22"/>
          <w:szCs w:val="22"/>
        </w:rPr>
        <w:t>Uncertainty is reported as 2SD.</w:t>
      </w:r>
    </w:p>
    <w:tbl>
      <w:tblPr>
        <w:tblW w:w="9180" w:type="dxa"/>
        <w:tblBorders>
          <w:top w:val="single" w:sz="4" w:space="0" w:color="auto"/>
          <w:bottom w:val="single" w:sz="4" w:space="0" w:color="auto"/>
        </w:tblBorders>
        <w:tblLook w:val="04A0" w:firstRow="1" w:lastRow="0" w:firstColumn="1" w:lastColumn="0" w:noHBand="0" w:noVBand="1"/>
      </w:tblPr>
      <w:tblGrid>
        <w:gridCol w:w="2220"/>
        <w:gridCol w:w="1640"/>
        <w:gridCol w:w="1640"/>
        <w:gridCol w:w="3680"/>
      </w:tblGrid>
      <w:tr w:rsidR="003E41AA" w:rsidRPr="00EF1DC1" w14:paraId="02D823F3" w14:textId="77777777" w:rsidTr="003E41AA">
        <w:trPr>
          <w:trHeight w:val="320"/>
        </w:trPr>
        <w:tc>
          <w:tcPr>
            <w:tcW w:w="2220" w:type="dxa"/>
            <w:tcBorders>
              <w:top w:val="single" w:sz="4" w:space="0" w:color="auto"/>
              <w:bottom w:val="single" w:sz="4" w:space="0" w:color="auto"/>
            </w:tcBorders>
            <w:noWrap/>
            <w:vAlign w:val="bottom"/>
            <w:hideMark/>
          </w:tcPr>
          <w:p w14:paraId="10716378" w14:textId="77777777" w:rsidR="003E41AA" w:rsidRPr="00EF1DC1" w:rsidRDefault="003E41AA">
            <w:pPr>
              <w:rPr>
                <w:b/>
                <w:bCs/>
                <w:color w:val="000000"/>
                <w:sz w:val="22"/>
                <w:szCs w:val="22"/>
              </w:rPr>
            </w:pPr>
            <w:r w:rsidRPr="00EF1DC1">
              <w:rPr>
                <w:b/>
                <w:bCs/>
                <w:color w:val="000000"/>
                <w:sz w:val="22"/>
                <w:szCs w:val="22"/>
              </w:rPr>
              <w:t>Standard</w:t>
            </w:r>
          </w:p>
        </w:tc>
        <w:tc>
          <w:tcPr>
            <w:tcW w:w="1640" w:type="dxa"/>
            <w:tcBorders>
              <w:top w:val="single" w:sz="4" w:space="0" w:color="auto"/>
              <w:bottom w:val="single" w:sz="4" w:space="0" w:color="auto"/>
            </w:tcBorders>
            <w:noWrap/>
            <w:vAlign w:val="bottom"/>
            <w:hideMark/>
          </w:tcPr>
          <w:p w14:paraId="6901A3D2" w14:textId="77777777" w:rsidR="003E41AA" w:rsidRPr="00EF1DC1" w:rsidRDefault="003E41AA">
            <w:pPr>
              <w:jc w:val="center"/>
              <w:rPr>
                <w:b/>
                <w:bCs/>
                <w:color w:val="000000"/>
                <w:sz w:val="22"/>
                <w:szCs w:val="22"/>
              </w:rPr>
            </w:pPr>
            <w:r w:rsidRPr="00EF1DC1">
              <w:rPr>
                <w:b/>
                <w:bCs/>
                <w:color w:val="000000"/>
                <w:sz w:val="22"/>
                <w:szCs w:val="22"/>
              </w:rPr>
              <w:t>Yale</w:t>
            </w:r>
          </w:p>
        </w:tc>
        <w:tc>
          <w:tcPr>
            <w:tcW w:w="1640" w:type="dxa"/>
            <w:tcBorders>
              <w:top w:val="single" w:sz="4" w:space="0" w:color="auto"/>
              <w:bottom w:val="single" w:sz="4" w:space="0" w:color="auto"/>
            </w:tcBorders>
            <w:noWrap/>
            <w:vAlign w:val="bottom"/>
            <w:hideMark/>
          </w:tcPr>
          <w:p w14:paraId="7EF69616" w14:textId="77777777" w:rsidR="003E41AA" w:rsidRPr="00EF1DC1" w:rsidRDefault="003E41AA">
            <w:pPr>
              <w:jc w:val="center"/>
              <w:rPr>
                <w:b/>
                <w:bCs/>
                <w:color w:val="000000"/>
                <w:sz w:val="22"/>
                <w:szCs w:val="22"/>
              </w:rPr>
            </w:pPr>
            <w:r w:rsidRPr="00EF1DC1">
              <w:rPr>
                <w:b/>
                <w:bCs/>
                <w:color w:val="000000"/>
                <w:sz w:val="22"/>
                <w:szCs w:val="22"/>
              </w:rPr>
              <w:t>PSU</w:t>
            </w:r>
          </w:p>
        </w:tc>
        <w:tc>
          <w:tcPr>
            <w:tcW w:w="3680" w:type="dxa"/>
            <w:tcBorders>
              <w:top w:val="single" w:sz="4" w:space="0" w:color="auto"/>
              <w:bottom w:val="single" w:sz="4" w:space="0" w:color="auto"/>
            </w:tcBorders>
            <w:noWrap/>
            <w:vAlign w:val="bottom"/>
            <w:hideMark/>
          </w:tcPr>
          <w:p w14:paraId="54E8D249" w14:textId="77777777" w:rsidR="003E41AA" w:rsidRPr="00EF1DC1" w:rsidRDefault="003E41AA">
            <w:pPr>
              <w:jc w:val="center"/>
              <w:rPr>
                <w:b/>
                <w:bCs/>
                <w:color w:val="000000"/>
                <w:sz w:val="22"/>
                <w:szCs w:val="22"/>
              </w:rPr>
            </w:pPr>
            <w:r w:rsidRPr="00EF1DC1">
              <w:rPr>
                <w:b/>
                <w:bCs/>
                <w:color w:val="000000"/>
                <w:sz w:val="22"/>
                <w:szCs w:val="22"/>
              </w:rPr>
              <w:t>Accepted value</w:t>
            </w:r>
          </w:p>
        </w:tc>
      </w:tr>
      <w:tr w:rsidR="003E41AA" w:rsidRPr="00EF1DC1" w14:paraId="7269B726" w14:textId="77777777" w:rsidTr="003E41AA">
        <w:trPr>
          <w:trHeight w:val="320"/>
        </w:trPr>
        <w:tc>
          <w:tcPr>
            <w:tcW w:w="2220" w:type="dxa"/>
            <w:tcBorders>
              <w:top w:val="single" w:sz="4" w:space="0" w:color="auto"/>
            </w:tcBorders>
            <w:noWrap/>
            <w:vAlign w:val="bottom"/>
            <w:hideMark/>
          </w:tcPr>
          <w:p w14:paraId="38E7C432" w14:textId="77777777" w:rsidR="003E41AA" w:rsidRPr="00EF1DC1" w:rsidRDefault="003E41AA">
            <w:pPr>
              <w:rPr>
                <w:color w:val="000000"/>
                <w:sz w:val="22"/>
                <w:szCs w:val="22"/>
              </w:rPr>
            </w:pPr>
            <w:r w:rsidRPr="00EF1DC1">
              <w:rPr>
                <w:color w:val="000000"/>
                <w:sz w:val="22"/>
                <w:szCs w:val="22"/>
              </w:rPr>
              <w:t>LSVEC</w:t>
            </w:r>
          </w:p>
        </w:tc>
        <w:tc>
          <w:tcPr>
            <w:tcW w:w="1640" w:type="dxa"/>
            <w:tcBorders>
              <w:top w:val="single" w:sz="4" w:space="0" w:color="auto"/>
            </w:tcBorders>
            <w:noWrap/>
            <w:vAlign w:val="bottom"/>
            <w:hideMark/>
          </w:tcPr>
          <w:p w14:paraId="2E5E7E5F" w14:textId="77777777" w:rsidR="003E41AA" w:rsidRPr="00EF1DC1" w:rsidRDefault="003E41AA">
            <w:pPr>
              <w:jc w:val="center"/>
              <w:rPr>
                <w:color w:val="000000"/>
                <w:sz w:val="22"/>
                <w:szCs w:val="22"/>
              </w:rPr>
            </w:pPr>
            <w:r w:rsidRPr="00EF1DC1">
              <w:rPr>
                <w:color w:val="000000"/>
                <w:sz w:val="22"/>
                <w:szCs w:val="22"/>
              </w:rPr>
              <w:t>0.46 ± 0.07 ‰</w:t>
            </w:r>
          </w:p>
        </w:tc>
        <w:tc>
          <w:tcPr>
            <w:tcW w:w="1640" w:type="dxa"/>
            <w:tcBorders>
              <w:top w:val="single" w:sz="4" w:space="0" w:color="auto"/>
            </w:tcBorders>
            <w:noWrap/>
            <w:vAlign w:val="bottom"/>
            <w:hideMark/>
          </w:tcPr>
          <w:p w14:paraId="7A22C292" w14:textId="77777777" w:rsidR="003E41AA" w:rsidRPr="00EF1DC1" w:rsidRDefault="003E41AA">
            <w:pPr>
              <w:jc w:val="center"/>
              <w:rPr>
                <w:color w:val="000000"/>
                <w:sz w:val="22"/>
                <w:szCs w:val="22"/>
              </w:rPr>
            </w:pPr>
            <w:r w:rsidRPr="00EF1DC1">
              <w:rPr>
                <w:color w:val="000000"/>
                <w:sz w:val="22"/>
                <w:szCs w:val="22"/>
              </w:rPr>
              <w:t>1.33 ± 1.77 ‰</w:t>
            </w:r>
          </w:p>
        </w:tc>
        <w:tc>
          <w:tcPr>
            <w:tcW w:w="3680" w:type="dxa"/>
            <w:tcBorders>
              <w:top w:val="single" w:sz="4" w:space="0" w:color="auto"/>
            </w:tcBorders>
            <w:noWrap/>
            <w:vAlign w:val="bottom"/>
            <w:hideMark/>
          </w:tcPr>
          <w:p w14:paraId="228F66DB" w14:textId="77777777" w:rsidR="003E41AA" w:rsidRPr="00EF1DC1" w:rsidRDefault="003E41AA">
            <w:pPr>
              <w:jc w:val="center"/>
              <w:rPr>
                <w:color w:val="000000"/>
                <w:sz w:val="22"/>
                <w:szCs w:val="22"/>
              </w:rPr>
            </w:pPr>
            <w:r w:rsidRPr="00EF1DC1">
              <w:rPr>
                <w:color w:val="000000"/>
                <w:sz w:val="22"/>
                <w:szCs w:val="22"/>
              </w:rPr>
              <w:t>0 ‰</w:t>
            </w:r>
          </w:p>
        </w:tc>
      </w:tr>
      <w:tr w:rsidR="003E41AA" w:rsidRPr="00EF1DC1" w14:paraId="5ABBA93D" w14:textId="77777777" w:rsidTr="003E41AA">
        <w:trPr>
          <w:trHeight w:val="320"/>
        </w:trPr>
        <w:tc>
          <w:tcPr>
            <w:tcW w:w="2220" w:type="dxa"/>
            <w:noWrap/>
            <w:vAlign w:val="bottom"/>
            <w:hideMark/>
          </w:tcPr>
          <w:p w14:paraId="5CA4139B" w14:textId="77777777" w:rsidR="003E41AA" w:rsidRPr="00EF1DC1" w:rsidRDefault="003E41AA">
            <w:pPr>
              <w:rPr>
                <w:color w:val="000000"/>
                <w:sz w:val="22"/>
                <w:szCs w:val="22"/>
              </w:rPr>
            </w:pPr>
            <w:r w:rsidRPr="00EF1DC1">
              <w:rPr>
                <w:color w:val="000000"/>
                <w:sz w:val="22"/>
                <w:szCs w:val="22"/>
              </w:rPr>
              <w:t>IAPSO</w:t>
            </w:r>
          </w:p>
        </w:tc>
        <w:tc>
          <w:tcPr>
            <w:tcW w:w="1640" w:type="dxa"/>
            <w:noWrap/>
            <w:vAlign w:val="bottom"/>
            <w:hideMark/>
          </w:tcPr>
          <w:p w14:paraId="1D91033E" w14:textId="77777777" w:rsidR="003E41AA" w:rsidRPr="00EF1DC1" w:rsidRDefault="003E41AA">
            <w:pPr>
              <w:jc w:val="center"/>
              <w:rPr>
                <w:color w:val="000000"/>
                <w:sz w:val="22"/>
                <w:szCs w:val="22"/>
              </w:rPr>
            </w:pPr>
            <w:r w:rsidRPr="00EF1DC1">
              <w:rPr>
                <w:color w:val="000000"/>
                <w:sz w:val="22"/>
                <w:szCs w:val="22"/>
              </w:rPr>
              <w:t>31.45 ± 0.07 ‰</w:t>
            </w:r>
          </w:p>
        </w:tc>
        <w:tc>
          <w:tcPr>
            <w:tcW w:w="1640" w:type="dxa"/>
            <w:noWrap/>
            <w:vAlign w:val="bottom"/>
            <w:hideMark/>
          </w:tcPr>
          <w:p w14:paraId="5F362482" w14:textId="77777777" w:rsidR="003E41AA" w:rsidRPr="00EF1DC1" w:rsidRDefault="003E41AA">
            <w:pPr>
              <w:jc w:val="center"/>
              <w:rPr>
                <w:color w:val="000000"/>
                <w:sz w:val="22"/>
                <w:szCs w:val="22"/>
              </w:rPr>
            </w:pPr>
            <w:r w:rsidRPr="00EF1DC1">
              <w:rPr>
                <w:color w:val="000000"/>
                <w:sz w:val="22"/>
                <w:szCs w:val="22"/>
              </w:rPr>
              <w:t>30.45 ± 0.42 ‰</w:t>
            </w:r>
          </w:p>
        </w:tc>
        <w:tc>
          <w:tcPr>
            <w:tcW w:w="3680" w:type="dxa"/>
            <w:noWrap/>
            <w:vAlign w:val="bottom"/>
            <w:hideMark/>
          </w:tcPr>
          <w:p w14:paraId="3B2377E7" w14:textId="77777777" w:rsidR="003E41AA" w:rsidRPr="00EF1DC1" w:rsidRDefault="003E41AA">
            <w:pPr>
              <w:jc w:val="center"/>
              <w:rPr>
                <w:color w:val="000000"/>
                <w:sz w:val="22"/>
                <w:szCs w:val="22"/>
              </w:rPr>
            </w:pPr>
            <w:r w:rsidRPr="00EF1DC1">
              <w:rPr>
                <w:color w:val="000000"/>
                <w:sz w:val="22"/>
                <w:szCs w:val="22"/>
              </w:rPr>
              <w:t>30.88 ± 0.12 ‰ (Huang et al., 2010)</w:t>
            </w:r>
          </w:p>
        </w:tc>
      </w:tr>
      <w:tr w:rsidR="003E41AA" w:rsidRPr="00EF1DC1" w14:paraId="0B87B97E" w14:textId="77777777" w:rsidTr="003E41AA">
        <w:trPr>
          <w:trHeight w:val="320"/>
        </w:trPr>
        <w:tc>
          <w:tcPr>
            <w:tcW w:w="2220" w:type="dxa"/>
            <w:noWrap/>
            <w:vAlign w:val="bottom"/>
            <w:hideMark/>
          </w:tcPr>
          <w:p w14:paraId="6C587E92" w14:textId="77777777" w:rsidR="003E41AA" w:rsidRPr="00EF1DC1" w:rsidRDefault="003E41AA">
            <w:pPr>
              <w:rPr>
                <w:color w:val="000000"/>
                <w:sz w:val="22"/>
                <w:szCs w:val="22"/>
              </w:rPr>
            </w:pPr>
            <w:r w:rsidRPr="00EF1DC1">
              <w:rPr>
                <w:color w:val="000000"/>
                <w:sz w:val="22"/>
                <w:szCs w:val="22"/>
              </w:rPr>
              <w:t>SRM-3129a</w:t>
            </w:r>
          </w:p>
        </w:tc>
        <w:tc>
          <w:tcPr>
            <w:tcW w:w="1640" w:type="dxa"/>
            <w:noWrap/>
            <w:vAlign w:val="bottom"/>
            <w:hideMark/>
          </w:tcPr>
          <w:p w14:paraId="19FC9915" w14:textId="77777777" w:rsidR="003E41AA" w:rsidRPr="00EF1DC1" w:rsidRDefault="003E41AA">
            <w:pPr>
              <w:jc w:val="center"/>
              <w:rPr>
                <w:color w:val="000000"/>
                <w:sz w:val="22"/>
                <w:szCs w:val="22"/>
              </w:rPr>
            </w:pPr>
            <w:r w:rsidRPr="00EF1DC1">
              <w:rPr>
                <w:color w:val="000000"/>
                <w:sz w:val="22"/>
                <w:szCs w:val="22"/>
              </w:rPr>
              <w:t>NA</w:t>
            </w:r>
          </w:p>
        </w:tc>
        <w:tc>
          <w:tcPr>
            <w:tcW w:w="1640" w:type="dxa"/>
            <w:noWrap/>
            <w:vAlign w:val="bottom"/>
            <w:hideMark/>
          </w:tcPr>
          <w:p w14:paraId="0A897FA4" w14:textId="77777777" w:rsidR="003E41AA" w:rsidRPr="00EF1DC1" w:rsidRDefault="003E41AA">
            <w:pPr>
              <w:jc w:val="center"/>
              <w:rPr>
                <w:color w:val="000000"/>
                <w:sz w:val="22"/>
                <w:szCs w:val="22"/>
              </w:rPr>
            </w:pPr>
            <w:r w:rsidRPr="00EF1DC1">
              <w:rPr>
                <w:color w:val="000000"/>
                <w:sz w:val="22"/>
                <w:szCs w:val="22"/>
              </w:rPr>
              <w:t>6.75 ± 1.55 ‰</w:t>
            </w:r>
          </w:p>
        </w:tc>
        <w:tc>
          <w:tcPr>
            <w:tcW w:w="3680" w:type="dxa"/>
            <w:noWrap/>
            <w:vAlign w:val="bottom"/>
            <w:hideMark/>
          </w:tcPr>
          <w:p w14:paraId="57F27538" w14:textId="77777777" w:rsidR="003E41AA" w:rsidRPr="00EF1DC1" w:rsidRDefault="003E41AA">
            <w:pPr>
              <w:jc w:val="center"/>
              <w:rPr>
                <w:color w:val="000000"/>
                <w:sz w:val="22"/>
                <w:szCs w:val="22"/>
              </w:rPr>
            </w:pPr>
            <w:r w:rsidRPr="00EF1DC1">
              <w:rPr>
                <w:color w:val="000000"/>
                <w:sz w:val="22"/>
                <w:szCs w:val="22"/>
              </w:rPr>
              <w:t>6.45 ± 0.60 ‰</w:t>
            </w:r>
          </w:p>
        </w:tc>
      </w:tr>
      <w:tr w:rsidR="003E41AA" w:rsidRPr="00EF1DC1" w14:paraId="0B4DE464" w14:textId="77777777" w:rsidTr="003E41AA">
        <w:trPr>
          <w:trHeight w:val="320"/>
        </w:trPr>
        <w:tc>
          <w:tcPr>
            <w:tcW w:w="2220" w:type="dxa"/>
            <w:noWrap/>
            <w:vAlign w:val="bottom"/>
            <w:hideMark/>
          </w:tcPr>
          <w:p w14:paraId="70E3C992" w14:textId="77777777" w:rsidR="003E41AA" w:rsidRPr="00EF1DC1" w:rsidRDefault="003E41AA">
            <w:pPr>
              <w:rPr>
                <w:color w:val="000000"/>
                <w:sz w:val="22"/>
                <w:szCs w:val="22"/>
              </w:rPr>
            </w:pPr>
            <w:r w:rsidRPr="00EF1DC1">
              <w:rPr>
                <w:color w:val="000000"/>
                <w:sz w:val="22"/>
                <w:szCs w:val="22"/>
              </w:rPr>
              <w:t>bracketing standard</w:t>
            </w:r>
          </w:p>
        </w:tc>
        <w:tc>
          <w:tcPr>
            <w:tcW w:w="1640" w:type="dxa"/>
            <w:noWrap/>
            <w:vAlign w:val="bottom"/>
            <w:hideMark/>
          </w:tcPr>
          <w:p w14:paraId="6DB8EC15" w14:textId="77777777" w:rsidR="003E41AA" w:rsidRPr="00EF1DC1" w:rsidRDefault="003E41AA">
            <w:pPr>
              <w:jc w:val="center"/>
              <w:rPr>
                <w:color w:val="000000"/>
                <w:sz w:val="22"/>
                <w:szCs w:val="22"/>
              </w:rPr>
            </w:pPr>
            <w:r w:rsidRPr="00EF1DC1">
              <w:rPr>
                <w:color w:val="000000"/>
                <w:sz w:val="22"/>
                <w:szCs w:val="22"/>
              </w:rPr>
              <w:t>± 0.36 ‰</w:t>
            </w:r>
          </w:p>
        </w:tc>
        <w:tc>
          <w:tcPr>
            <w:tcW w:w="1640" w:type="dxa"/>
            <w:noWrap/>
            <w:vAlign w:val="bottom"/>
            <w:hideMark/>
          </w:tcPr>
          <w:p w14:paraId="6A45E02E" w14:textId="77777777" w:rsidR="003E41AA" w:rsidRPr="00EF1DC1" w:rsidRDefault="003E41AA">
            <w:pPr>
              <w:jc w:val="center"/>
              <w:rPr>
                <w:color w:val="000000"/>
                <w:sz w:val="22"/>
                <w:szCs w:val="22"/>
              </w:rPr>
            </w:pPr>
            <w:r w:rsidRPr="00EF1DC1">
              <w:rPr>
                <w:color w:val="000000"/>
                <w:sz w:val="22"/>
                <w:szCs w:val="22"/>
              </w:rPr>
              <w:t>± 0.58 ‰</w:t>
            </w:r>
          </w:p>
        </w:tc>
        <w:tc>
          <w:tcPr>
            <w:tcW w:w="3680" w:type="dxa"/>
            <w:noWrap/>
            <w:vAlign w:val="bottom"/>
            <w:hideMark/>
          </w:tcPr>
          <w:p w14:paraId="15B63CF9" w14:textId="77777777" w:rsidR="003E41AA" w:rsidRPr="00EF1DC1" w:rsidRDefault="003E41AA">
            <w:pPr>
              <w:jc w:val="center"/>
              <w:rPr>
                <w:color w:val="000000"/>
                <w:sz w:val="22"/>
                <w:szCs w:val="22"/>
              </w:rPr>
            </w:pPr>
            <w:r w:rsidRPr="00EF1DC1">
              <w:rPr>
                <w:color w:val="000000"/>
                <w:sz w:val="22"/>
                <w:szCs w:val="22"/>
              </w:rPr>
              <w:t>NA</w:t>
            </w:r>
          </w:p>
        </w:tc>
      </w:tr>
    </w:tbl>
    <w:p w14:paraId="5573A2CA" w14:textId="39CF8FD0" w:rsidR="00D911F4" w:rsidRPr="00EF1DC1" w:rsidRDefault="00D911F4">
      <w:pPr>
        <w:rPr>
          <w:b/>
          <w:bCs/>
          <w:i/>
          <w:iCs/>
          <w:sz w:val="22"/>
          <w:szCs w:val="22"/>
        </w:rPr>
      </w:pPr>
    </w:p>
    <w:p w14:paraId="534E6581" w14:textId="77777777" w:rsidR="00D911F4" w:rsidRPr="00EF1DC1" w:rsidRDefault="00D911F4">
      <w:pPr>
        <w:rPr>
          <w:b/>
          <w:bCs/>
          <w:i/>
          <w:iCs/>
          <w:sz w:val="22"/>
          <w:szCs w:val="22"/>
        </w:rPr>
      </w:pPr>
    </w:p>
    <w:p w14:paraId="043671B3" w14:textId="7B1ADA29" w:rsidR="00D911F4" w:rsidRPr="00EF1DC1" w:rsidRDefault="00031CCE" w:rsidP="00D911F4">
      <w:pPr>
        <w:rPr>
          <w:color w:val="000000"/>
          <w:sz w:val="22"/>
          <w:szCs w:val="22"/>
        </w:rPr>
      </w:pPr>
      <w:r w:rsidRPr="00EF1DC1">
        <w:rPr>
          <w:b/>
          <w:bCs/>
          <w:i/>
          <w:iCs/>
          <w:sz w:val="22"/>
          <w:szCs w:val="22"/>
        </w:rPr>
        <w:t>Table S</w:t>
      </w:r>
      <w:r w:rsidR="00D911F4" w:rsidRPr="00EF1DC1">
        <w:rPr>
          <w:b/>
          <w:bCs/>
          <w:i/>
          <w:iCs/>
          <w:sz w:val="22"/>
          <w:szCs w:val="22"/>
        </w:rPr>
        <w:t>3</w:t>
      </w:r>
      <w:r w:rsidRPr="00EF1DC1">
        <w:rPr>
          <w:b/>
          <w:bCs/>
          <w:i/>
          <w:iCs/>
          <w:sz w:val="22"/>
          <w:szCs w:val="22"/>
        </w:rPr>
        <w:t xml:space="preserve">. ANOVA results comparing </w:t>
      </w:r>
      <w:r w:rsidRPr="00EF1DC1">
        <w:rPr>
          <w:b/>
          <w:bCs/>
          <w:i/>
          <w:iCs/>
          <w:color w:val="000000"/>
          <w:sz w:val="22"/>
          <w:szCs w:val="22"/>
        </w:rPr>
        <w:t>δ</w:t>
      </w:r>
      <w:r w:rsidRPr="00EF1DC1">
        <w:rPr>
          <w:b/>
          <w:bCs/>
          <w:i/>
          <w:iCs/>
          <w:color w:val="000000"/>
          <w:sz w:val="22"/>
          <w:szCs w:val="22"/>
          <w:vertAlign w:val="superscript"/>
        </w:rPr>
        <w:t>7</w:t>
      </w:r>
      <w:r w:rsidRPr="00EF1DC1">
        <w:rPr>
          <w:b/>
          <w:bCs/>
          <w:i/>
          <w:iCs/>
          <w:color w:val="000000"/>
          <w:sz w:val="22"/>
          <w:szCs w:val="22"/>
        </w:rPr>
        <w:t>Li across stages for individual sections.</w:t>
      </w:r>
      <w:r w:rsidRPr="00EF1DC1">
        <w:rPr>
          <w:color w:val="000000"/>
          <w:sz w:val="22"/>
          <w:szCs w:val="22"/>
        </w:rPr>
        <w:t xml:space="preserve"> Tukey-Kramer post-hoc test p-values are bolded if the ANOVA indicated statistically significant differences across stages (i.e., </w:t>
      </w:r>
      <w:r w:rsidRPr="00EF1DC1">
        <w:rPr>
          <w:rFonts w:ascii="Cambria Math" w:hAnsi="Cambria Math" w:cs="Cambria Math"/>
          <w:color w:val="000000"/>
          <w:sz w:val="22"/>
          <w:szCs w:val="22"/>
        </w:rPr>
        <w:t>𝛼</w:t>
      </w:r>
      <w:r w:rsidRPr="00EF1DC1">
        <w:rPr>
          <w:color w:val="000000"/>
          <w:sz w:val="22"/>
          <w:szCs w:val="22"/>
        </w:rPr>
        <w:t xml:space="preserve"> = 0.05). </w:t>
      </w:r>
      <w:r w:rsidR="00774D45" w:rsidRPr="00EF1DC1">
        <w:rPr>
          <w:color w:val="000000"/>
          <w:sz w:val="22"/>
          <w:szCs w:val="22"/>
        </w:rPr>
        <w:t>Mid/L. Tr = Middle to Late Triassic.</w:t>
      </w:r>
    </w:p>
    <w:tbl>
      <w:tblPr>
        <w:tblW w:w="9360" w:type="dxa"/>
        <w:tblLook w:val="04A0" w:firstRow="1" w:lastRow="0" w:firstColumn="1" w:lastColumn="0" w:noHBand="0" w:noVBand="1"/>
      </w:tblPr>
      <w:tblGrid>
        <w:gridCol w:w="2692"/>
        <w:gridCol w:w="1827"/>
        <w:gridCol w:w="1974"/>
        <w:gridCol w:w="2867"/>
      </w:tblGrid>
      <w:tr w:rsidR="00031CCE" w:rsidRPr="00EF1DC1" w14:paraId="1DEF01F2" w14:textId="77777777">
        <w:trPr>
          <w:trHeight w:val="320"/>
        </w:trPr>
        <w:tc>
          <w:tcPr>
            <w:tcW w:w="2692" w:type="dxa"/>
            <w:tcBorders>
              <w:top w:val="single" w:sz="4" w:space="0" w:color="auto"/>
              <w:left w:val="nil"/>
              <w:bottom w:val="single" w:sz="4" w:space="0" w:color="auto"/>
              <w:right w:val="nil"/>
            </w:tcBorders>
            <w:noWrap/>
            <w:vAlign w:val="bottom"/>
            <w:hideMark/>
          </w:tcPr>
          <w:p w14:paraId="21EEACF9" w14:textId="77777777" w:rsidR="00031CCE" w:rsidRPr="00EF1DC1" w:rsidRDefault="00031CCE">
            <w:pPr>
              <w:spacing w:line="360" w:lineRule="auto"/>
              <w:rPr>
                <w:color w:val="000000"/>
                <w:sz w:val="22"/>
                <w:szCs w:val="22"/>
              </w:rPr>
            </w:pPr>
            <w:r w:rsidRPr="00EF1DC1">
              <w:rPr>
                <w:color w:val="000000"/>
                <w:sz w:val="22"/>
                <w:szCs w:val="22"/>
              </w:rPr>
              <w:t> </w:t>
            </w:r>
          </w:p>
        </w:tc>
        <w:tc>
          <w:tcPr>
            <w:tcW w:w="1827" w:type="dxa"/>
            <w:tcBorders>
              <w:top w:val="single" w:sz="4" w:space="0" w:color="auto"/>
              <w:left w:val="nil"/>
              <w:bottom w:val="single" w:sz="4" w:space="0" w:color="auto"/>
              <w:right w:val="nil"/>
            </w:tcBorders>
            <w:noWrap/>
            <w:vAlign w:val="bottom"/>
            <w:hideMark/>
          </w:tcPr>
          <w:p w14:paraId="5C6E9D01" w14:textId="77777777" w:rsidR="00031CCE" w:rsidRPr="00EF1DC1" w:rsidRDefault="00031CCE">
            <w:pPr>
              <w:spacing w:line="360" w:lineRule="auto"/>
              <w:rPr>
                <w:color w:val="000000"/>
                <w:sz w:val="22"/>
                <w:szCs w:val="22"/>
              </w:rPr>
            </w:pPr>
            <w:proofErr w:type="spellStart"/>
            <w:r w:rsidRPr="00EF1DC1">
              <w:rPr>
                <w:color w:val="000000"/>
                <w:sz w:val="22"/>
                <w:szCs w:val="22"/>
              </w:rPr>
              <w:t>Taşkent</w:t>
            </w:r>
            <w:proofErr w:type="spellEnd"/>
            <w:r w:rsidRPr="00EF1DC1">
              <w:rPr>
                <w:color w:val="000000"/>
                <w:sz w:val="22"/>
                <w:szCs w:val="22"/>
              </w:rPr>
              <w:t>, Turkey</w:t>
            </w:r>
          </w:p>
        </w:tc>
        <w:tc>
          <w:tcPr>
            <w:tcW w:w="1974" w:type="dxa"/>
            <w:tcBorders>
              <w:top w:val="single" w:sz="4" w:space="0" w:color="auto"/>
              <w:left w:val="nil"/>
              <w:bottom w:val="single" w:sz="4" w:space="0" w:color="auto"/>
              <w:right w:val="nil"/>
            </w:tcBorders>
            <w:noWrap/>
            <w:vAlign w:val="bottom"/>
            <w:hideMark/>
          </w:tcPr>
          <w:p w14:paraId="1A8A1352" w14:textId="77777777" w:rsidR="00031CCE" w:rsidRPr="00EF1DC1" w:rsidRDefault="00031CCE">
            <w:pPr>
              <w:spacing w:line="360" w:lineRule="auto"/>
              <w:rPr>
                <w:color w:val="000000"/>
                <w:sz w:val="22"/>
                <w:szCs w:val="22"/>
              </w:rPr>
            </w:pPr>
            <w:r w:rsidRPr="00EF1DC1">
              <w:rPr>
                <w:color w:val="000000"/>
                <w:sz w:val="22"/>
                <w:szCs w:val="22"/>
              </w:rPr>
              <w:t>Takachiho, Japan</w:t>
            </w:r>
          </w:p>
        </w:tc>
        <w:tc>
          <w:tcPr>
            <w:tcW w:w="2867" w:type="dxa"/>
            <w:tcBorders>
              <w:top w:val="single" w:sz="4" w:space="0" w:color="auto"/>
              <w:left w:val="nil"/>
              <w:bottom w:val="single" w:sz="4" w:space="0" w:color="auto"/>
              <w:right w:val="nil"/>
            </w:tcBorders>
            <w:noWrap/>
            <w:vAlign w:val="bottom"/>
            <w:hideMark/>
          </w:tcPr>
          <w:p w14:paraId="3E13F01B" w14:textId="77777777" w:rsidR="00031CCE" w:rsidRPr="00EF1DC1" w:rsidRDefault="00031CCE">
            <w:pPr>
              <w:spacing w:line="360" w:lineRule="auto"/>
              <w:rPr>
                <w:color w:val="000000"/>
                <w:sz w:val="22"/>
                <w:szCs w:val="22"/>
              </w:rPr>
            </w:pPr>
            <w:r w:rsidRPr="00EF1DC1">
              <w:rPr>
                <w:color w:val="000000"/>
                <w:sz w:val="22"/>
                <w:szCs w:val="22"/>
              </w:rPr>
              <w:t>South China (Cao et al., 2022)</w:t>
            </w:r>
          </w:p>
        </w:tc>
      </w:tr>
      <w:tr w:rsidR="00031CCE" w:rsidRPr="00EF1DC1" w14:paraId="23610B3D" w14:textId="77777777">
        <w:trPr>
          <w:trHeight w:val="320"/>
        </w:trPr>
        <w:tc>
          <w:tcPr>
            <w:tcW w:w="2692" w:type="dxa"/>
            <w:tcBorders>
              <w:top w:val="nil"/>
              <w:left w:val="nil"/>
              <w:bottom w:val="single" w:sz="4" w:space="0" w:color="auto"/>
              <w:right w:val="nil"/>
            </w:tcBorders>
            <w:noWrap/>
            <w:vAlign w:val="bottom"/>
            <w:hideMark/>
          </w:tcPr>
          <w:p w14:paraId="752A54FC" w14:textId="77777777" w:rsidR="00031CCE" w:rsidRPr="00EF1DC1" w:rsidRDefault="00031CCE">
            <w:pPr>
              <w:spacing w:line="360" w:lineRule="auto"/>
              <w:rPr>
                <w:color w:val="000000"/>
                <w:sz w:val="22"/>
                <w:szCs w:val="22"/>
              </w:rPr>
            </w:pPr>
            <w:r w:rsidRPr="00EF1DC1">
              <w:rPr>
                <w:color w:val="000000"/>
                <w:sz w:val="22"/>
                <w:szCs w:val="22"/>
              </w:rPr>
              <w:t xml:space="preserve">ANOVA </w:t>
            </w:r>
            <w:r w:rsidRPr="00EF1DC1">
              <w:rPr>
                <w:i/>
                <w:iCs/>
                <w:color w:val="000000"/>
                <w:sz w:val="22"/>
                <w:szCs w:val="22"/>
              </w:rPr>
              <w:t>p</w:t>
            </w:r>
            <w:r w:rsidRPr="00EF1DC1">
              <w:rPr>
                <w:color w:val="000000"/>
                <w:sz w:val="22"/>
                <w:szCs w:val="22"/>
              </w:rPr>
              <w:t>-value</w:t>
            </w:r>
          </w:p>
        </w:tc>
        <w:tc>
          <w:tcPr>
            <w:tcW w:w="1827" w:type="dxa"/>
            <w:tcBorders>
              <w:top w:val="nil"/>
              <w:left w:val="nil"/>
              <w:bottom w:val="single" w:sz="4" w:space="0" w:color="auto"/>
              <w:right w:val="nil"/>
            </w:tcBorders>
            <w:noWrap/>
            <w:vAlign w:val="center"/>
            <w:hideMark/>
          </w:tcPr>
          <w:p w14:paraId="740B50F6" w14:textId="77777777" w:rsidR="00031CCE" w:rsidRPr="00EF1DC1" w:rsidRDefault="00031CCE">
            <w:pPr>
              <w:spacing w:line="360" w:lineRule="auto"/>
              <w:jc w:val="center"/>
              <w:rPr>
                <w:b/>
                <w:bCs/>
                <w:color w:val="000000"/>
                <w:sz w:val="22"/>
                <w:szCs w:val="22"/>
              </w:rPr>
            </w:pPr>
            <w:r w:rsidRPr="00EF1DC1">
              <w:rPr>
                <w:b/>
                <w:bCs/>
                <w:color w:val="000000"/>
                <w:sz w:val="22"/>
                <w:szCs w:val="22"/>
              </w:rPr>
              <w:t>&lt;0.001</w:t>
            </w:r>
          </w:p>
        </w:tc>
        <w:tc>
          <w:tcPr>
            <w:tcW w:w="1974" w:type="dxa"/>
            <w:tcBorders>
              <w:top w:val="nil"/>
              <w:left w:val="nil"/>
              <w:bottom w:val="single" w:sz="4" w:space="0" w:color="auto"/>
              <w:right w:val="nil"/>
            </w:tcBorders>
            <w:noWrap/>
            <w:vAlign w:val="center"/>
            <w:hideMark/>
          </w:tcPr>
          <w:p w14:paraId="712DF283" w14:textId="4471A578" w:rsidR="00031CCE" w:rsidRPr="00EF1DC1" w:rsidRDefault="00031CCE">
            <w:pPr>
              <w:spacing w:line="360" w:lineRule="auto"/>
              <w:jc w:val="center"/>
              <w:rPr>
                <w:b/>
                <w:bCs/>
                <w:color w:val="000000"/>
                <w:sz w:val="22"/>
                <w:szCs w:val="22"/>
              </w:rPr>
            </w:pPr>
            <w:r w:rsidRPr="00EF1DC1">
              <w:rPr>
                <w:b/>
                <w:bCs/>
                <w:color w:val="000000"/>
                <w:sz w:val="22"/>
                <w:szCs w:val="22"/>
              </w:rPr>
              <w:t>0.001</w:t>
            </w:r>
          </w:p>
        </w:tc>
        <w:tc>
          <w:tcPr>
            <w:tcW w:w="2867" w:type="dxa"/>
            <w:tcBorders>
              <w:top w:val="nil"/>
              <w:left w:val="nil"/>
              <w:bottom w:val="single" w:sz="4" w:space="0" w:color="auto"/>
              <w:right w:val="nil"/>
            </w:tcBorders>
            <w:noWrap/>
            <w:vAlign w:val="center"/>
            <w:hideMark/>
          </w:tcPr>
          <w:p w14:paraId="0ABD8341" w14:textId="77777777" w:rsidR="00031CCE" w:rsidRPr="00EF1DC1" w:rsidRDefault="00031CCE">
            <w:pPr>
              <w:spacing w:line="360" w:lineRule="auto"/>
              <w:jc w:val="center"/>
              <w:rPr>
                <w:color w:val="000000"/>
                <w:sz w:val="22"/>
                <w:szCs w:val="22"/>
              </w:rPr>
            </w:pPr>
            <w:r w:rsidRPr="00EF1DC1">
              <w:rPr>
                <w:color w:val="000000"/>
                <w:sz w:val="22"/>
                <w:szCs w:val="22"/>
              </w:rPr>
              <w:t>0.052</w:t>
            </w:r>
          </w:p>
        </w:tc>
      </w:tr>
      <w:tr w:rsidR="00031CCE" w:rsidRPr="00EF1DC1" w14:paraId="59907FF9" w14:textId="77777777">
        <w:trPr>
          <w:trHeight w:val="320"/>
        </w:trPr>
        <w:tc>
          <w:tcPr>
            <w:tcW w:w="4519" w:type="dxa"/>
            <w:gridSpan w:val="2"/>
            <w:tcBorders>
              <w:top w:val="single" w:sz="4" w:space="0" w:color="auto"/>
              <w:left w:val="nil"/>
              <w:bottom w:val="nil"/>
              <w:right w:val="nil"/>
            </w:tcBorders>
            <w:noWrap/>
            <w:vAlign w:val="bottom"/>
            <w:hideMark/>
          </w:tcPr>
          <w:p w14:paraId="5CF8E698" w14:textId="77777777" w:rsidR="00031CCE" w:rsidRPr="00EF1DC1" w:rsidRDefault="00031CCE">
            <w:pPr>
              <w:spacing w:line="360" w:lineRule="auto"/>
              <w:rPr>
                <w:color w:val="000000"/>
                <w:sz w:val="22"/>
                <w:szCs w:val="22"/>
              </w:rPr>
            </w:pPr>
            <w:r w:rsidRPr="00EF1DC1">
              <w:rPr>
                <w:color w:val="000000"/>
                <w:sz w:val="22"/>
                <w:szCs w:val="22"/>
              </w:rPr>
              <w:t xml:space="preserve">Tukey-Kramer post-hoc test </w:t>
            </w:r>
            <w:r w:rsidRPr="00EF1DC1">
              <w:rPr>
                <w:i/>
                <w:iCs/>
                <w:color w:val="000000"/>
                <w:sz w:val="22"/>
                <w:szCs w:val="22"/>
              </w:rPr>
              <w:t>p</w:t>
            </w:r>
            <w:r w:rsidRPr="00EF1DC1">
              <w:rPr>
                <w:color w:val="000000"/>
                <w:sz w:val="22"/>
                <w:szCs w:val="22"/>
              </w:rPr>
              <w:t>-value</w:t>
            </w:r>
          </w:p>
        </w:tc>
        <w:tc>
          <w:tcPr>
            <w:tcW w:w="1974" w:type="dxa"/>
            <w:tcBorders>
              <w:top w:val="nil"/>
              <w:left w:val="nil"/>
              <w:bottom w:val="nil"/>
              <w:right w:val="nil"/>
            </w:tcBorders>
            <w:noWrap/>
            <w:vAlign w:val="center"/>
            <w:hideMark/>
          </w:tcPr>
          <w:p w14:paraId="53B34157" w14:textId="77777777" w:rsidR="00031CCE" w:rsidRPr="00EF1DC1" w:rsidRDefault="00031CCE">
            <w:pPr>
              <w:spacing w:line="360" w:lineRule="auto"/>
              <w:jc w:val="center"/>
              <w:rPr>
                <w:color w:val="000000"/>
                <w:sz w:val="22"/>
                <w:szCs w:val="22"/>
              </w:rPr>
            </w:pPr>
            <w:r w:rsidRPr="00EF1DC1">
              <w:rPr>
                <w:color w:val="000000"/>
                <w:sz w:val="22"/>
                <w:szCs w:val="22"/>
              </w:rPr>
              <w:t> </w:t>
            </w:r>
          </w:p>
        </w:tc>
        <w:tc>
          <w:tcPr>
            <w:tcW w:w="2867" w:type="dxa"/>
            <w:tcBorders>
              <w:top w:val="nil"/>
              <w:left w:val="nil"/>
              <w:bottom w:val="nil"/>
              <w:right w:val="nil"/>
            </w:tcBorders>
            <w:noWrap/>
            <w:vAlign w:val="center"/>
            <w:hideMark/>
          </w:tcPr>
          <w:p w14:paraId="1EDE8491" w14:textId="77777777" w:rsidR="00031CCE" w:rsidRPr="00EF1DC1" w:rsidRDefault="00031CCE">
            <w:pPr>
              <w:spacing w:line="360" w:lineRule="auto"/>
              <w:jc w:val="center"/>
              <w:rPr>
                <w:color w:val="000000"/>
                <w:sz w:val="22"/>
                <w:szCs w:val="22"/>
              </w:rPr>
            </w:pPr>
            <w:r w:rsidRPr="00EF1DC1">
              <w:rPr>
                <w:color w:val="000000"/>
                <w:sz w:val="22"/>
                <w:szCs w:val="22"/>
              </w:rPr>
              <w:t> </w:t>
            </w:r>
          </w:p>
        </w:tc>
      </w:tr>
      <w:tr w:rsidR="00031CCE" w:rsidRPr="00EF1DC1" w14:paraId="7C997BDF" w14:textId="77777777">
        <w:trPr>
          <w:trHeight w:val="320"/>
        </w:trPr>
        <w:tc>
          <w:tcPr>
            <w:tcW w:w="2692" w:type="dxa"/>
            <w:tcBorders>
              <w:top w:val="nil"/>
              <w:left w:val="nil"/>
              <w:bottom w:val="nil"/>
              <w:right w:val="nil"/>
            </w:tcBorders>
            <w:noWrap/>
            <w:vAlign w:val="bottom"/>
            <w:hideMark/>
          </w:tcPr>
          <w:p w14:paraId="178A505F" w14:textId="77777777" w:rsidR="00031CCE" w:rsidRPr="00EF1DC1" w:rsidRDefault="00031CCE">
            <w:pPr>
              <w:spacing w:line="360" w:lineRule="auto"/>
              <w:rPr>
                <w:i/>
                <w:iCs/>
                <w:color w:val="000000"/>
                <w:sz w:val="22"/>
                <w:szCs w:val="22"/>
              </w:rPr>
            </w:pPr>
            <w:proofErr w:type="spellStart"/>
            <w:r w:rsidRPr="00EF1DC1">
              <w:rPr>
                <w:i/>
                <w:iCs/>
                <w:color w:val="000000"/>
                <w:sz w:val="22"/>
                <w:szCs w:val="22"/>
              </w:rPr>
              <w:t>Changhsingian-Induan</w:t>
            </w:r>
            <w:proofErr w:type="spellEnd"/>
          </w:p>
        </w:tc>
        <w:tc>
          <w:tcPr>
            <w:tcW w:w="1827" w:type="dxa"/>
            <w:tcBorders>
              <w:top w:val="nil"/>
              <w:left w:val="nil"/>
              <w:bottom w:val="nil"/>
              <w:right w:val="nil"/>
            </w:tcBorders>
            <w:noWrap/>
            <w:vAlign w:val="center"/>
            <w:hideMark/>
          </w:tcPr>
          <w:p w14:paraId="303A08FB" w14:textId="77777777" w:rsidR="00031CCE" w:rsidRPr="00EF1DC1" w:rsidRDefault="00031CCE">
            <w:pPr>
              <w:spacing w:line="360" w:lineRule="auto"/>
              <w:jc w:val="center"/>
              <w:rPr>
                <w:color w:val="000000"/>
                <w:sz w:val="22"/>
                <w:szCs w:val="22"/>
              </w:rPr>
            </w:pPr>
            <w:r w:rsidRPr="00EF1DC1">
              <w:rPr>
                <w:color w:val="000000"/>
                <w:sz w:val="22"/>
                <w:szCs w:val="22"/>
              </w:rPr>
              <w:t>0.085</w:t>
            </w:r>
          </w:p>
        </w:tc>
        <w:tc>
          <w:tcPr>
            <w:tcW w:w="1974" w:type="dxa"/>
            <w:tcBorders>
              <w:top w:val="nil"/>
              <w:left w:val="nil"/>
              <w:bottom w:val="nil"/>
              <w:right w:val="nil"/>
            </w:tcBorders>
            <w:noWrap/>
            <w:vAlign w:val="center"/>
            <w:hideMark/>
          </w:tcPr>
          <w:p w14:paraId="3D774F10" w14:textId="17735DD5" w:rsidR="00031CCE" w:rsidRPr="00EF1DC1" w:rsidRDefault="00031CCE">
            <w:pPr>
              <w:spacing w:line="360" w:lineRule="auto"/>
              <w:jc w:val="center"/>
              <w:rPr>
                <w:color w:val="000000"/>
                <w:sz w:val="22"/>
                <w:szCs w:val="22"/>
              </w:rPr>
            </w:pPr>
            <w:r w:rsidRPr="00EF1DC1">
              <w:rPr>
                <w:color w:val="000000"/>
                <w:sz w:val="22"/>
                <w:szCs w:val="22"/>
              </w:rPr>
              <w:t>0.</w:t>
            </w:r>
            <w:r w:rsidR="006344DD" w:rsidRPr="00EF1DC1">
              <w:rPr>
                <w:color w:val="000000"/>
                <w:sz w:val="22"/>
                <w:szCs w:val="22"/>
              </w:rPr>
              <w:t>733</w:t>
            </w:r>
          </w:p>
        </w:tc>
        <w:tc>
          <w:tcPr>
            <w:tcW w:w="2867" w:type="dxa"/>
            <w:tcBorders>
              <w:top w:val="nil"/>
              <w:left w:val="nil"/>
              <w:bottom w:val="nil"/>
              <w:right w:val="nil"/>
            </w:tcBorders>
            <w:noWrap/>
            <w:vAlign w:val="center"/>
            <w:hideMark/>
          </w:tcPr>
          <w:p w14:paraId="2520F666" w14:textId="77777777" w:rsidR="00031CCE" w:rsidRPr="00EF1DC1" w:rsidRDefault="00031CCE">
            <w:pPr>
              <w:spacing w:line="360" w:lineRule="auto"/>
              <w:jc w:val="center"/>
              <w:rPr>
                <w:color w:val="000000"/>
                <w:sz w:val="22"/>
                <w:szCs w:val="22"/>
              </w:rPr>
            </w:pPr>
            <w:r w:rsidRPr="00EF1DC1">
              <w:rPr>
                <w:color w:val="000000"/>
                <w:sz w:val="22"/>
                <w:szCs w:val="22"/>
              </w:rPr>
              <w:t>--</w:t>
            </w:r>
          </w:p>
        </w:tc>
      </w:tr>
      <w:tr w:rsidR="00031CCE" w:rsidRPr="00EF1DC1" w14:paraId="434F427B" w14:textId="77777777">
        <w:trPr>
          <w:trHeight w:val="320"/>
        </w:trPr>
        <w:tc>
          <w:tcPr>
            <w:tcW w:w="2692" w:type="dxa"/>
            <w:tcBorders>
              <w:top w:val="nil"/>
              <w:left w:val="nil"/>
              <w:bottom w:val="nil"/>
              <w:right w:val="nil"/>
            </w:tcBorders>
            <w:noWrap/>
            <w:vAlign w:val="bottom"/>
            <w:hideMark/>
          </w:tcPr>
          <w:p w14:paraId="27320B88" w14:textId="77777777" w:rsidR="00031CCE" w:rsidRPr="00EF1DC1" w:rsidRDefault="00031CCE">
            <w:pPr>
              <w:spacing w:line="360" w:lineRule="auto"/>
              <w:rPr>
                <w:i/>
                <w:iCs/>
                <w:color w:val="000000"/>
                <w:sz w:val="22"/>
                <w:szCs w:val="22"/>
              </w:rPr>
            </w:pPr>
            <w:proofErr w:type="spellStart"/>
            <w:r w:rsidRPr="00EF1DC1">
              <w:rPr>
                <w:i/>
                <w:iCs/>
                <w:color w:val="000000"/>
                <w:sz w:val="22"/>
                <w:szCs w:val="22"/>
              </w:rPr>
              <w:t>Changhsingian-Olenekian</w:t>
            </w:r>
            <w:proofErr w:type="spellEnd"/>
          </w:p>
        </w:tc>
        <w:tc>
          <w:tcPr>
            <w:tcW w:w="1827" w:type="dxa"/>
            <w:tcBorders>
              <w:top w:val="nil"/>
              <w:left w:val="nil"/>
              <w:bottom w:val="nil"/>
              <w:right w:val="nil"/>
            </w:tcBorders>
            <w:noWrap/>
            <w:vAlign w:val="center"/>
            <w:hideMark/>
          </w:tcPr>
          <w:p w14:paraId="45F11B13" w14:textId="001F6B68" w:rsidR="00031CCE" w:rsidRPr="00EF1DC1" w:rsidRDefault="00031CCE">
            <w:pPr>
              <w:spacing w:line="360" w:lineRule="auto"/>
              <w:jc w:val="center"/>
              <w:rPr>
                <w:color w:val="000000"/>
                <w:sz w:val="22"/>
                <w:szCs w:val="22"/>
              </w:rPr>
            </w:pPr>
            <w:r w:rsidRPr="00EF1DC1">
              <w:rPr>
                <w:color w:val="000000"/>
                <w:sz w:val="22"/>
                <w:szCs w:val="22"/>
              </w:rPr>
              <w:t>0.38</w:t>
            </w:r>
            <w:r w:rsidR="006344DD" w:rsidRPr="00EF1DC1">
              <w:rPr>
                <w:color w:val="000000"/>
                <w:sz w:val="22"/>
                <w:szCs w:val="22"/>
              </w:rPr>
              <w:t>5</w:t>
            </w:r>
          </w:p>
        </w:tc>
        <w:tc>
          <w:tcPr>
            <w:tcW w:w="1974" w:type="dxa"/>
            <w:tcBorders>
              <w:top w:val="nil"/>
              <w:left w:val="nil"/>
              <w:bottom w:val="nil"/>
              <w:right w:val="nil"/>
            </w:tcBorders>
            <w:noWrap/>
            <w:vAlign w:val="center"/>
            <w:hideMark/>
          </w:tcPr>
          <w:p w14:paraId="4DA88A5C" w14:textId="3679B3EC" w:rsidR="00031CCE" w:rsidRPr="00EF1DC1" w:rsidRDefault="00031CCE">
            <w:pPr>
              <w:spacing w:line="360" w:lineRule="auto"/>
              <w:jc w:val="center"/>
              <w:rPr>
                <w:color w:val="000000"/>
                <w:sz w:val="22"/>
                <w:szCs w:val="22"/>
              </w:rPr>
            </w:pPr>
            <w:r w:rsidRPr="00EF1DC1">
              <w:rPr>
                <w:color w:val="000000"/>
                <w:sz w:val="22"/>
                <w:szCs w:val="22"/>
              </w:rPr>
              <w:t>0.</w:t>
            </w:r>
            <w:r w:rsidR="006344DD" w:rsidRPr="00EF1DC1">
              <w:rPr>
                <w:color w:val="000000"/>
                <w:sz w:val="22"/>
                <w:szCs w:val="22"/>
              </w:rPr>
              <w:t>973</w:t>
            </w:r>
          </w:p>
        </w:tc>
        <w:tc>
          <w:tcPr>
            <w:tcW w:w="2867" w:type="dxa"/>
            <w:tcBorders>
              <w:top w:val="nil"/>
              <w:left w:val="nil"/>
              <w:bottom w:val="nil"/>
              <w:right w:val="nil"/>
            </w:tcBorders>
            <w:noWrap/>
            <w:vAlign w:val="center"/>
            <w:hideMark/>
          </w:tcPr>
          <w:p w14:paraId="55D0B8D2" w14:textId="77777777" w:rsidR="00031CCE" w:rsidRPr="00EF1DC1" w:rsidRDefault="00031CCE">
            <w:pPr>
              <w:spacing w:line="360" w:lineRule="auto"/>
              <w:jc w:val="center"/>
              <w:rPr>
                <w:color w:val="000000"/>
                <w:sz w:val="22"/>
                <w:szCs w:val="22"/>
              </w:rPr>
            </w:pPr>
            <w:r w:rsidRPr="00EF1DC1">
              <w:rPr>
                <w:color w:val="000000"/>
                <w:sz w:val="22"/>
                <w:szCs w:val="22"/>
              </w:rPr>
              <w:t>--</w:t>
            </w:r>
          </w:p>
        </w:tc>
      </w:tr>
      <w:tr w:rsidR="00031CCE" w:rsidRPr="00EF1DC1" w14:paraId="3DD72226" w14:textId="77777777">
        <w:trPr>
          <w:trHeight w:val="320"/>
        </w:trPr>
        <w:tc>
          <w:tcPr>
            <w:tcW w:w="2692" w:type="dxa"/>
            <w:tcBorders>
              <w:top w:val="nil"/>
              <w:left w:val="nil"/>
              <w:bottom w:val="nil"/>
              <w:right w:val="nil"/>
            </w:tcBorders>
            <w:noWrap/>
            <w:vAlign w:val="bottom"/>
            <w:hideMark/>
          </w:tcPr>
          <w:p w14:paraId="52B63BA1" w14:textId="22263CCC" w:rsidR="00031CCE" w:rsidRPr="00EF1DC1" w:rsidRDefault="00031CCE">
            <w:pPr>
              <w:spacing w:line="360" w:lineRule="auto"/>
              <w:rPr>
                <w:i/>
                <w:iCs/>
                <w:color w:val="000000"/>
                <w:sz w:val="22"/>
                <w:szCs w:val="22"/>
              </w:rPr>
            </w:pPr>
            <w:proofErr w:type="spellStart"/>
            <w:r w:rsidRPr="00EF1DC1">
              <w:rPr>
                <w:i/>
                <w:iCs/>
                <w:color w:val="000000"/>
                <w:sz w:val="22"/>
                <w:szCs w:val="22"/>
              </w:rPr>
              <w:t>Changhsingian</w:t>
            </w:r>
            <w:proofErr w:type="spellEnd"/>
            <w:r w:rsidRPr="00EF1DC1">
              <w:rPr>
                <w:i/>
                <w:iCs/>
                <w:color w:val="000000"/>
                <w:sz w:val="22"/>
                <w:szCs w:val="22"/>
              </w:rPr>
              <w:t>-</w:t>
            </w:r>
            <w:r w:rsidR="00774D45" w:rsidRPr="00EF1DC1">
              <w:rPr>
                <w:i/>
                <w:iCs/>
                <w:color w:val="000000"/>
                <w:sz w:val="22"/>
                <w:szCs w:val="22"/>
              </w:rPr>
              <w:t>Mid/L. Tr</w:t>
            </w:r>
          </w:p>
        </w:tc>
        <w:tc>
          <w:tcPr>
            <w:tcW w:w="1827" w:type="dxa"/>
            <w:tcBorders>
              <w:top w:val="nil"/>
              <w:left w:val="nil"/>
              <w:bottom w:val="nil"/>
              <w:right w:val="nil"/>
            </w:tcBorders>
            <w:noWrap/>
            <w:vAlign w:val="center"/>
            <w:hideMark/>
          </w:tcPr>
          <w:p w14:paraId="341A6C40" w14:textId="77777777" w:rsidR="00031CCE" w:rsidRPr="00EF1DC1" w:rsidRDefault="00031CCE">
            <w:pPr>
              <w:spacing w:line="360" w:lineRule="auto"/>
              <w:jc w:val="center"/>
              <w:rPr>
                <w:b/>
                <w:bCs/>
                <w:color w:val="000000"/>
                <w:sz w:val="22"/>
                <w:szCs w:val="22"/>
              </w:rPr>
            </w:pPr>
            <w:r w:rsidRPr="00EF1DC1">
              <w:rPr>
                <w:b/>
                <w:bCs/>
                <w:color w:val="000000"/>
                <w:sz w:val="22"/>
                <w:szCs w:val="22"/>
              </w:rPr>
              <w:t>0.048</w:t>
            </w:r>
          </w:p>
        </w:tc>
        <w:tc>
          <w:tcPr>
            <w:tcW w:w="1974" w:type="dxa"/>
            <w:tcBorders>
              <w:top w:val="nil"/>
              <w:left w:val="nil"/>
              <w:bottom w:val="nil"/>
              <w:right w:val="nil"/>
            </w:tcBorders>
            <w:noWrap/>
            <w:vAlign w:val="center"/>
            <w:hideMark/>
          </w:tcPr>
          <w:p w14:paraId="74B7A824" w14:textId="238C9CDF" w:rsidR="00031CCE" w:rsidRPr="00EF1DC1" w:rsidRDefault="00031CCE">
            <w:pPr>
              <w:spacing w:line="360" w:lineRule="auto"/>
              <w:jc w:val="center"/>
              <w:rPr>
                <w:color w:val="000000"/>
                <w:sz w:val="22"/>
                <w:szCs w:val="22"/>
              </w:rPr>
            </w:pPr>
            <w:r w:rsidRPr="00EF1DC1">
              <w:rPr>
                <w:color w:val="000000"/>
                <w:sz w:val="22"/>
                <w:szCs w:val="22"/>
              </w:rPr>
              <w:t>0.</w:t>
            </w:r>
            <w:r w:rsidR="006344DD" w:rsidRPr="00EF1DC1">
              <w:rPr>
                <w:color w:val="000000"/>
                <w:sz w:val="22"/>
                <w:szCs w:val="22"/>
              </w:rPr>
              <w:t>786</w:t>
            </w:r>
          </w:p>
        </w:tc>
        <w:tc>
          <w:tcPr>
            <w:tcW w:w="2867" w:type="dxa"/>
            <w:tcBorders>
              <w:top w:val="nil"/>
              <w:left w:val="nil"/>
              <w:bottom w:val="nil"/>
              <w:right w:val="nil"/>
            </w:tcBorders>
            <w:noWrap/>
            <w:vAlign w:val="center"/>
            <w:hideMark/>
          </w:tcPr>
          <w:p w14:paraId="44BA6590" w14:textId="77777777" w:rsidR="00031CCE" w:rsidRPr="00EF1DC1" w:rsidRDefault="00031CCE">
            <w:pPr>
              <w:spacing w:line="360" w:lineRule="auto"/>
              <w:jc w:val="center"/>
              <w:rPr>
                <w:color w:val="000000"/>
                <w:sz w:val="22"/>
                <w:szCs w:val="22"/>
              </w:rPr>
            </w:pPr>
            <w:r w:rsidRPr="00EF1DC1">
              <w:rPr>
                <w:color w:val="000000"/>
                <w:sz w:val="22"/>
                <w:szCs w:val="22"/>
              </w:rPr>
              <w:t>--</w:t>
            </w:r>
          </w:p>
        </w:tc>
      </w:tr>
      <w:tr w:rsidR="00031CCE" w:rsidRPr="00EF1DC1" w14:paraId="7D9B9073" w14:textId="77777777">
        <w:trPr>
          <w:trHeight w:val="320"/>
        </w:trPr>
        <w:tc>
          <w:tcPr>
            <w:tcW w:w="2692" w:type="dxa"/>
            <w:tcBorders>
              <w:top w:val="nil"/>
              <w:left w:val="nil"/>
              <w:bottom w:val="nil"/>
              <w:right w:val="nil"/>
            </w:tcBorders>
            <w:noWrap/>
            <w:vAlign w:val="bottom"/>
            <w:hideMark/>
          </w:tcPr>
          <w:p w14:paraId="0145E7AC" w14:textId="77777777" w:rsidR="00031CCE" w:rsidRPr="00EF1DC1" w:rsidRDefault="00031CCE">
            <w:pPr>
              <w:spacing w:line="360" w:lineRule="auto"/>
              <w:rPr>
                <w:i/>
                <w:iCs/>
                <w:color w:val="000000"/>
                <w:sz w:val="22"/>
                <w:szCs w:val="22"/>
              </w:rPr>
            </w:pPr>
            <w:proofErr w:type="spellStart"/>
            <w:r w:rsidRPr="00EF1DC1">
              <w:rPr>
                <w:i/>
                <w:iCs/>
                <w:color w:val="000000"/>
                <w:sz w:val="22"/>
                <w:szCs w:val="22"/>
              </w:rPr>
              <w:t>Induan-Olenekian</w:t>
            </w:r>
            <w:proofErr w:type="spellEnd"/>
          </w:p>
        </w:tc>
        <w:tc>
          <w:tcPr>
            <w:tcW w:w="1827" w:type="dxa"/>
            <w:tcBorders>
              <w:top w:val="nil"/>
              <w:left w:val="nil"/>
              <w:bottom w:val="nil"/>
              <w:right w:val="nil"/>
            </w:tcBorders>
            <w:noWrap/>
            <w:vAlign w:val="center"/>
            <w:hideMark/>
          </w:tcPr>
          <w:p w14:paraId="71D5591E" w14:textId="45CC29F0" w:rsidR="00031CCE" w:rsidRPr="00EF1DC1" w:rsidRDefault="00031CCE">
            <w:pPr>
              <w:spacing w:line="360" w:lineRule="auto"/>
              <w:jc w:val="center"/>
              <w:rPr>
                <w:color w:val="000000"/>
                <w:sz w:val="22"/>
                <w:szCs w:val="22"/>
              </w:rPr>
            </w:pPr>
            <w:r w:rsidRPr="00EF1DC1">
              <w:rPr>
                <w:color w:val="000000"/>
                <w:sz w:val="22"/>
                <w:szCs w:val="22"/>
              </w:rPr>
              <w:t>0.83</w:t>
            </w:r>
            <w:r w:rsidR="006344DD" w:rsidRPr="00EF1DC1">
              <w:rPr>
                <w:color w:val="000000"/>
                <w:sz w:val="22"/>
                <w:szCs w:val="22"/>
              </w:rPr>
              <w:t>6</w:t>
            </w:r>
          </w:p>
        </w:tc>
        <w:tc>
          <w:tcPr>
            <w:tcW w:w="1974" w:type="dxa"/>
            <w:tcBorders>
              <w:top w:val="nil"/>
              <w:left w:val="nil"/>
              <w:bottom w:val="nil"/>
              <w:right w:val="nil"/>
            </w:tcBorders>
            <w:noWrap/>
            <w:vAlign w:val="center"/>
            <w:hideMark/>
          </w:tcPr>
          <w:p w14:paraId="20C8D77A" w14:textId="6104E86A" w:rsidR="00031CCE" w:rsidRPr="00EF1DC1" w:rsidRDefault="00031CCE">
            <w:pPr>
              <w:spacing w:line="360" w:lineRule="auto"/>
              <w:jc w:val="center"/>
              <w:rPr>
                <w:color w:val="000000"/>
                <w:sz w:val="22"/>
                <w:szCs w:val="22"/>
              </w:rPr>
            </w:pPr>
            <w:r w:rsidRPr="00EF1DC1">
              <w:rPr>
                <w:color w:val="000000"/>
                <w:sz w:val="22"/>
                <w:szCs w:val="22"/>
              </w:rPr>
              <w:t>0.</w:t>
            </w:r>
            <w:r w:rsidR="006344DD" w:rsidRPr="00EF1DC1">
              <w:rPr>
                <w:color w:val="000000"/>
                <w:sz w:val="22"/>
                <w:szCs w:val="22"/>
              </w:rPr>
              <w:t>537</w:t>
            </w:r>
            <w:r w:rsidRPr="00EF1DC1">
              <w:rPr>
                <w:color w:val="000000"/>
                <w:sz w:val="22"/>
                <w:szCs w:val="22"/>
              </w:rPr>
              <w:t xml:space="preserve"> </w:t>
            </w:r>
          </w:p>
        </w:tc>
        <w:tc>
          <w:tcPr>
            <w:tcW w:w="2867" w:type="dxa"/>
            <w:tcBorders>
              <w:top w:val="nil"/>
              <w:left w:val="nil"/>
              <w:bottom w:val="nil"/>
              <w:right w:val="nil"/>
            </w:tcBorders>
            <w:noWrap/>
            <w:vAlign w:val="center"/>
            <w:hideMark/>
          </w:tcPr>
          <w:p w14:paraId="53FF20D6" w14:textId="77777777" w:rsidR="00031CCE" w:rsidRPr="00EF1DC1" w:rsidRDefault="00031CCE">
            <w:pPr>
              <w:spacing w:line="360" w:lineRule="auto"/>
              <w:jc w:val="center"/>
              <w:rPr>
                <w:color w:val="000000"/>
                <w:sz w:val="22"/>
                <w:szCs w:val="22"/>
              </w:rPr>
            </w:pPr>
            <w:r w:rsidRPr="00EF1DC1">
              <w:rPr>
                <w:color w:val="000000"/>
                <w:sz w:val="22"/>
                <w:szCs w:val="22"/>
              </w:rPr>
              <w:t>--</w:t>
            </w:r>
          </w:p>
        </w:tc>
      </w:tr>
      <w:tr w:rsidR="00031CCE" w:rsidRPr="00EF1DC1" w14:paraId="7A66E710" w14:textId="77777777">
        <w:trPr>
          <w:trHeight w:val="320"/>
        </w:trPr>
        <w:tc>
          <w:tcPr>
            <w:tcW w:w="2692" w:type="dxa"/>
            <w:tcBorders>
              <w:top w:val="nil"/>
              <w:left w:val="nil"/>
              <w:bottom w:val="nil"/>
              <w:right w:val="nil"/>
            </w:tcBorders>
            <w:noWrap/>
            <w:vAlign w:val="bottom"/>
            <w:hideMark/>
          </w:tcPr>
          <w:p w14:paraId="54017C65" w14:textId="3CDEA834" w:rsidR="00031CCE" w:rsidRPr="00EF1DC1" w:rsidRDefault="00031CCE">
            <w:pPr>
              <w:spacing w:line="360" w:lineRule="auto"/>
              <w:rPr>
                <w:i/>
                <w:iCs/>
                <w:color w:val="000000"/>
                <w:sz w:val="22"/>
                <w:szCs w:val="22"/>
              </w:rPr>
            </w:pPr>
            <w:proofErr w:type="spellStart"/>
            <w:r w:rsidRPr="00EF1DC1">
              <w:rPr>
                <w:i/>
                <w:iCs/>
                <w:color w:val="000000"/>
                <w:sz w:val="22"/>
                <w:szCs w:val="22"/>
              </w:rPr>
              <w:t>Induan</w:t>
            </w:r>
            <w:proofErr w:type="spellEnd"/>
            <w:r w:rsidRPr="00EF1DC1">
              <w:rPr>
                <w:i/>
                <w:iCs/>
                <w:color w:val="000000"/>
                <w:sz w:val="22"/>
                <w:szCs w:val="22"/>
              </w:rPr>
              <w:t>-</w:t>
            </w:r>
            <w:r w:rsidR="00774D45" w:rsidRPr="00EF1DC1">
              <w:rPr>
                <w:i/>
                <w:iCs/>
                <w:color w:val="000000"/>
                <w:sz w:val="22"/>
                <w:szCs w:val="22"/>
              </w:rPr>
              <w:t>Mid./L. Tr</w:t>
            </w:r>
          </w:p>
        </w:tc>
        <w:tc>
          <w:tcPr>
            <w:tcW w:w="1827" w:type="dxa"/>
            <w:tcBorders>
              <w:top w:val="nil"/>
              <w:left w:val="nil"/>
              <w:bottom w:val="nil"/>
              <w:right w:val="nil"/>
            </w:tcBorders>
            <w:noWrap/>
            <w:vAlign w:val="center"/>
            <w:hideMark/>
          </w:tcPr>
          <w:p w14:paraId="580E08D4" w14:textId="77777777" w:rsidR="00031CCE" w:rsidRPr="00EF1DC1" w:rsidRDefault="00031CCE">
            <w:pPr>
              <w:spacing w:line="360" w:lineRule="auto"/>
              <w:jc w:val="center"/>
              <w:rPr>
                <w:b/>
                <w:bCs/>
                <w:color w:val="000000"/>
                <w:sz w:val="22"/>
                <w:szCs w:val="22"/>
              </w:rPr>
            </w:pPr>
            <w:r w:rsidRPr="00EF1DC1">
              <w:rPr>
                <w:b/>
                <w:bCs/>
                <w:color w:val="000000"/>
                <w:sz w:val="22"/>
                <w:szCs w:val="22"/>
              </w:rPr>
              <w:t>&lt;0.001</w:t>
            </w:r>
          </w:p>
        </w:tc>
        <w:tc>
          <w:tcPr>
            <w:tcW w:w="1974" w:type="dxa"/>
            <w:tcBorders>
              <w:top w:val="nil"/>
              <w:left w:val="nil"/>
              <w:bottom w:val="nil"/>
              <w:right w:val="nil"/>
            </w:tcBorders>
            <w:noWrap/>
            <w:vAlign w:val="center"/>
            <w:hideMark/>
          </w:tcPr>
          <w:p w14:paraId="2D759A90" w14:textId="646ADCD8" w:rsidR="00031CCE" w:rsidRPr="00EF1DC1" w:rsidRDefault="00031CCE">
            <w:pPr>
              <w:spacing w:line="360" w:lineRule="auto"/>
              <w:jc w:val="center"/>
              <w:rPr>
                <w:b/>
                <w:bCs/>
                <w:color w:val="000000"/>
                <w:sz w:val="22"/>
                <w:szCs w:val="22"/>
              </w:rPr>
            </w:pPr>
            <w:r w:rsidRPr="00EF1DC1">
              <w:rPr>
                <w:b/>
                <w:bCs/>
                <w:color w:val="000000"/>
                <w:sz w:val="22"/>
                <w:szCs w:val="22"/>
              </w:rPr>
              <w:t>0.001</w:t>
            </w:r>
          </w:p>
        </w:tc>
        <w:tc>
          <w:tcPr>
            <w:tcW w:w="2867" w:type="dxa"/>
            <w:tcBorders>
              <w:top w:val="nil"/>
              <w:left w:val="nil"/>
              <w:bottom w:val="nil"/>
              <w:right w:val="nil"/>
            </w:tcBorders>
            <w:noWrap/>
            <w:vAlign w:val="center"/>
            <w:hideMark/>
          </w:tcPr>
          <w:p w14:paraId="13B74F39" w14:textId="77777777" w:rsidR="00031CCE" w:rsidRPr="00EF1DC1" w:rsidRDefault="00031CCE">
            <w:pPr>
              <w:spacing w:line="360" w:lineRule="auto"/>
              <w:jc w:val="center"/>
              <w:rPr>
                <w:color w:val="000000"/>
                <w:sz w:val="22"/>
                <w:szCs w:val="22"/>
              </w:rPr>
            </w:pPr>
            <w:r w:rsidRPr="00EF1DC1">
              <w:rPr>
                <w:color w:val="000000"/>
                <w:sz w:val="22"/>
                <w:szCs w:val="22"/>
              </w:rPr>
              <w:t>--</w:t>
            </w:r>
          </w:p>
        </w:tc>
      </w:tr>
      <w:tr w:rsidR="00031CCE" w:rsidRPr="00EF1DC1" w14:paraId="7A18C959" w14:textId="77777777">
        <w:trPr>
          <w:trHeight w:val="320"/>
        </w:trPr>
        <w:tc>
          <w:tcPr>
            <w:tcW w:w="2692" w:type="dxa"/>
            <w:tcBorders>
              <w:top w:val="nil"/>
              <w:left w:val="nil"/>
              <w:bottom w:val="single" w:sz="4" w:space="0" w:color="auto"/>
              <w:right w:val="nil"/>
            </w:tcBorders>
            <w:noWrap/>
            <w:vAlign w:val="bottom"/>
            <w:hideMark/>
          </w:tcPr>
          <w:p w14:paraId="58BB5B34" w14:textId="725B7556" w:rsidR="00031CCE" w:rsidRPr="00EF1DC1" w:rsidRDefault="00031CCE">
            <w:pPr>
              <w:spacing w:line="360" w:lineRule="auto"/>
              <w:rPr>
                <w:i/>
                <w:iCs/>
                <w:color w:val="000000"/>
                <w:sz w:val="22"/>
                <w:szCs w:val="22"/>
              </w:rPr>
            </w:pPr>
            <w:proofErr w:type="spellStart"/>
            <w:r w:rsidRPr="00EF1DC1">
              <w:rPr>
                <w:i/>
                <w:iCs/>
                <w:color w:val="000000"/>
                <w:sz w:val="22"/>
                <w:szCs w:val="22"/>
              </w:rPr>
              <w:t>Olenekian</w:t>
            </w:r>
            <w:proofErr w:type="spellEnd"/>
            <w:r w:rsidRPr="00EF1DC1">
              <w:rPr>
                <w:i/>
                <w:iCs/>
                <w:color w:val="000000"/>
                <w:sz w:val="22"/>
                <w:szCs w:val="22"/>
              </w:rPr>
              <w:t>-</w:t>
            </w:r>
            <w:r w:rsidR="00774D45" w:rsidRPr="00EF1DC1">
              <w:rPr>
                <w:i/>
                <w:iCs/>
                <w:color w:val="000000"/>
                <w:sz w:val="22"/>
                <w:szCs w:val="22"/>
              </w:rPr>
              <w:t>Mid./L. Tr</w:t>
            </w:r>
          </w:p>
        </w:tc>
        <w:tc>
          <w:tcPr>
            <w:tcW w:w="1827" w:type="dxa"/>
            <w:tcBorders>
              <w:top w:val="nil"/>
              <w:left w:val="nil"/>
              <w:bottom w:val="single" w:sz="4" w:space="0" w:color="auto"/>
              <w:right w:val="nil"/>
            </w:tcBorders>
            <w:noWrap/>
            <w:vAlign w:val="center"/>
            <w:hideMark/>
          </w:tcPr>
          <w:p w14:paraId="26A6C69D" w14:textId="77777777" w:rsidR="00031CCE" w:rsidRPr="00EF1DC1" w:rsidRDefault="00031CCE">
            <w:pPr>
              <w:spacing w:line="360" w:lineRule="auto"/>
              <w:jc w:val="center"/>
              <w:rPr>
                <w:b/>
                <w:bCs/>
                <w:color w:val="000000"/>
                <w:sz w:val="22"/>
                <w:szCs w:val="22"/>
              </w:rPr>
            </w:pPr>
            <w:r w:rsidRPr="00EF1DC1">
              <w:rPr>
                <w:b/>
                <w:bCs/>
                <w:color w:val="000000"/>
                <w:sz w:val="22"/>
                <w:szCs w:val="22"/>
              </w:rPr>
              <w:t>&lt;0.001</w:t>
            </w:r>
          </w:p>
        </w:tc>
        <w:tc>
          <w:tcPr>
            <w:tcW w:w="1974" w:type="dxa"/>
            <w:tcBorders>
              <w:top w:val="nil"/>
              <w:left w:val="nil"/>
              <w:bottom w:val="single" w:sz="4" w:space="0" w:color="auto"/>
              <w:right w:val="nil"/>
            </w:tcBorders>
            <w:noWrap/>
            <w:vAlign w:val="center"/>
            <w:hideMark/>
          </w:tcPr>
          <w:p w14:paraId="671E3E03" w14:textId="55F71C2F" w:rsidR="00031CCE" w:rsidRPr="00EF1DC1" w:rsidRDefault="006344DD">
            <w:pPr>
              <w:spacing w:line="360" w:lineRule="auto"/>
              <w:jc w:val="center"/>
              <w:rPr>
                <w:b/>
                <w:bCs/>
                <w:color w:val="000000"/>
                <w:sz w:val="22"/>
                <w:szCs w:val="22"/>
              </w:rPr>
            </w:pPr>
            <w:r w:rsidRPr="00EF1DC1">
              <w:rPr>
                <w:b/>
                <w:bCs/>
                <w:color w:val="000000"/>
                <w:sz w:val="22"/>
                <w:szCs w:val="22"/>
              </w:rPr>
              <w:t>0.018</w:t>
            </w:r>
          </w:p>
        </w:tc>
        <w:tc>
          <w:tcPr>
            <w:tcW w:w="2867" w:type="dxa"/>
            <w:tcBorders>
              <w:top w:val="nil"/>
              <w:left w:val="nil"/>
              <w:bottom w:val="single" w:sz="4" w:space="0" w:color="auto"/>
              <w:right w:val="nil"/>
            </w:tcBorders>
            <w:noWrap/>
            <w:vAlign w:val="center"/>
            <w:hideMark/>
          </w:tcPr>
          <w:p w14:paraId="0E3DF626" w14:textId="77777777" w:rsidR="00031CCE" w:rsidRPr="00EF1DC1" w:rsidRDefault="00031CCE">
            <w:pPr>
              <w:spacing w:line="360" w:lineRule="auto"/>
              <w:jc w:val="center"/>
              <w:rPr>
                <w:color w:val="000000"/>
                <w:sz w:val="22"/>
                <w:szCs w:val="22"/>
              </w:rPr>
            </w:pPr>
            <w:r w:rsidRPr="00EF1DC1">
              <w:rPr>
                <w:color w:val="000000"/>
                <w:sz w:val="22"/>
                <w:szCs w:val="22"/>
              </w:rPr>
              <w:t>--</w:t>
            </w:r>
          </w:p>
        </w:tc>
      </w:tr>
    </w:tbl>
    <w:p w14:paraId="33305A90" w14:textId="24A044C3" w:rsidR="00031CCE" w:rsidRPr="00EF1DC1" w:rsidRDefault="00031CCE">
      <w:pPr>
        <w:rPr>
          <w:b/>
          <w:bCs/>
          <w:i/>
          <w:iCs/>
          <w:sz w:val="22"/>
          <w:szCs w:val="22"/>
        </w:rPr>
      </w:pPr>
    </w:p>
    <w:p w14:paraId="53F24869" w14:textId="77777777" w:rsidR="00D911F4" w:rsidRPr="00EF1DC1" w:rsidRDefault="00D911F4">
      <w:pPr>
        <w:rPr>
          <w:b/>
          <w:bCs/>
          <w:i/>
          <w:iCs/>
          <w:sz w:val="22"/>
          <w:szCs w:val="22"/>
        </w:rPr>
      </w:pPr>
    </w:p>
    <w:p w14:paraId="3B9C5E04" w14:textId="5030573F" w:rsidR="00D911F4" w:rsidRPr="00EF1DC1" w:rsidRDefault="00031CCE" w:rsidP="00D911F4">
      <w:pPr>
        <w:jc w:val="both"/>
        <w:rPr>
          <w:color w:val="000000"/>
          <w:sz w:val="22"/>
          <w:szCs w:val="22"/>
        </w:rPr>
      </w:pPr>
      <w:r w:rsidRPr="00EF1DC1">
        <w:rPr>
          <w:b/>
          <w:bCs/>
          <w:i/>
          <w:iCs/>
          <w:sz w:val="22"/>
          <w:szCs w:val="22"/>
        </w:rPr>
        <w:t>Table S</w:t>
      </w:r>
      <w:r w:rsidR="00D911F4" w:rsidRPr="00EF1DC1">
        <w:rPr>
          <w:b/>
          <w:bCs/>
          <w:i/>
          <w:iCs/>
          <w:sz w:val="22"/>
          <w:szCs w:val="22"/>
        </w:rPr>
        <w:t>4</w:t>
      </w:r>
      <w:r w:rsidRPr="00EF1DC1">
        <w:rPr>
          <w:b/>
          <w:bCs/>
          <w:i/>
          <w:iCs/>
          <w:sz w:val="22"/>
          <w:szCs w:val="22"/>
        </w:rPr>
        <w:t>. Correlation statistics</w:t>
      </w:r>
      <w:r w:rsidRPr="00EF1DC1">
        <w:rPr>
          <w:b/>
          <w:bCs/>
          <w:i/>
          <w:iCs/>
          <w:color w:val="000000"/>
          <w:sz w:val="22"/>
          <w:szCs w:val="22"/>
        </w:rPr>
        <w:t>.</w:t>
      </w:r>
      <w:r w:rsidRPr="00EF1DC1">
        <w:rPr>
          <w:color w:val="000000"/>
          <w:sz w:val="22"/>
          <w:szCs w:val="22"/>
        </w:rPr>
        <w:t xml:space="preserve"> Spearman’s ρ results (including the p-value) are reported for δ</w:t>
      </w:r>
      <w:r w:rsidRPr="00EF1DC1">
        <w:rPr>
          <w:color w:val="000000"/>
          <w:sz w:val="22"/>
          <w:szCs w:val="22"/>
          <w:vertAlign w:val="superscript"/>
        </w:rPr>
        <w:t>7</w:t>
      </w:r>
      <w:r w:rsidRPr="00EF1DC1">
        <w:rPr>
          <w:color w:val="000000"/>
          <w:sz w:val="22"/>
          <w:szCs w:val="22"/>
        </w:rPr>
        <w:t xml:space="preserve">Li versus elemental ratios and Li/Ca versus elemental ratios for the sections in this study as well as </w:t>
      </w:r>
      <w:proofErr w:type="spellStart"/>
      <w:r w:rsidRPr="00EF1DC1">
        <w:rPr>
          <w:color w:val="000000"/>
          <w:sz w:val="22"/>
          <w:szCs w:val="22"/>
        </w:rPr>
        <w:t>Shanggang</w:t>
      </w:r>
      <w:proofErr w:type="spellEnd"/>
      <w:r w:rsidRPr="00EF1DC1">
        <w:rPr>
          <w:color w:val="000000"/>
          <w:sz w:val="22"/>
          <w:szCs w:val="22"/>
        </w:rPr>
        <w:t xml:space="preserve"> and </w:t>
      </w:r>
      <w:proofErr w:type="spellStart"/>
      <w:r w:rsidRPr="00EF1DC1">
        <w:rPr>
          <w:color w:val="000000"/>
          <w:sz w:val="22"/>
          <w:szCs w:val="22"/>
        </w:rPr>
        <w:t>Shangsi</w:t>
      </w:r>
      <w:proofErr w:type="spellEnd"/>
      <w:r w:rsidRPr="00EF1DC1">
        <w:rPr>
          <w:color w:val="000000"/>
          <w:sz w:val="22"/>
          <w:szCs w:val="22"/>
        </w:rPr>
        <w:t>, South China (Cao et al., 2022). Significant results are bolded (</w:t>
      </w:r>
      <w:r w:rsidRPr="00EF1DC1">
        <w:rPr>
          <w:rFonts w:ascii="Cambria Math" w:hAnsi="Cambria Math" w:cs="Cambria Math"/>
          <w:color w:val="000000"/>
          <w:sz w:val="22"/>
          <w:szCs w:val="22"/>
        </w:rPr>
        <w:t>𝛼</w:t>
      </w:r>
      <w:r w:rsidRPr="00EF1DC1">
        <w:rPr>
          <w:color w:val="000000"/>
          <w:sz w:val="22"/>
          <w:szCs w:val="22"/>
        </w:rPr>
        <w:t xml:space="preserve"> = 0.05).</w:t>
      </w:r>
    </w:p>
    <w:tbl>
      <w:tblPr>
        <w:tblW w:w="9141" w:type="dxa"/>
        <w:tblLook w:val="04A0" w:firstRow="1" w:lastRow="0" w:firstColumn="1" w:lastColumn="0" w:noHBand="0" w:noVBand="1"/>
      </w:tblPr>
      <w:tblGrid>
        <w:gridCol w:w="810"/>
        <w:gridCol w:w="828"/>
        <w:gridCol w:w="1350"/>
        <w:gridCol w:w="1080"/>
        <w:gridCol w:w="1440"/>
        <w:gridCol w:w="1080"/>
        <w:gridCol w:w="1534"/>
        <w:gridCol w:w="1037"/>
      </w:tblGrid>
      <w:tr w:rsidR="00031CCE" w:rsidRPr="00EF1DC1" w14:paraId="6FC2453F" w14:textId="77777777">
        <w:trPr>
          <w:trHeight w:val="320"/>
        </w:trPr>
        <w:tc>
          <w:tcPr>
            <w:tcW w:w="810" w:type="dxa"/>
            <w:tcBorders>
              <w:top w:val="single" w:sz="4" w:space="0" w:color="auto"/>
              <w:left w:val="nil"/>
              <w:bottom w:val="nil"/>
              <w:right w:val="nil"/>
            </w:tcBorders>
            <w:noWrap/>
            <w:vAlign w:val="bottom"/>
            <w:hideMark/>
          </w:tcPr>
          <w:p w14:paraId="248DEA0C" w14:textId="77777777" w:rsidR="00031CCE" w:rsidRPr="00EF1DC1" w:rsidRDefault="00031CCE">
            <w:pPr>
              <w:rPr>
                <w:color w:val="000000"/>
                <w:sz w:val="22"/>
                <w:szCs w:val="22"/>
              </w:rPr>
            </w:pPr>
            <w:r w:rsidRPr="00EF1DC1">
              <w:rPr>
                <w:color w:val="000000"/>
                <w:sz w:val="22"/>
                <w:szCs w:val="22"/>
              </w:rPr>
              <w:t> </w:t>
            </w:r>
          </w:p>
        </w:tc>
        <w:tc>
          <w:tcPr>
            <w:tcW w:w="810" w:type="dxa"/>
            <w:tcBorders>
              <w:top w:val="single" w:sz="4" w:space="0" w:color="auto"/>
              <w:left w:val="nil"/>
              <w:bottom w:val="nil"/>
              <w:right w:val="nil"/>
            </w:tcBorders>
            <w:noWrap/>
            <w:vAlign w:val="bottom"/>
            <w:hideMark/>
          </w:tcPr>
          <w:p w14:paraId="73589CCE" w14:textId="77777777" w:rsidR="00031CCE" w:rsidRPr="00EF1DC1" w:rsidRDefault="00031CCE">
            <w:pPr>
              <w:rPr>
                <w:color w:val="000000"/>
                <w:sz w:val="22"/>
                <w:szCs w:val="22"/>
              </w:rPr>
            </w:pPr>
            <w:r w:rsidRPr="00EF1DC1">
              <w:rPr>
                <w:color w:val="000000"/>
                <w:sz w:val="22"/>
                <w:szCs w:val="22"/>
              </w:rPr>
              <w:t> </w:t>
            </w:r>
          </w:p>
        </w:tc>
        <w:tc>
          <w:tcPr>
            <w:tcW w:w="2430" w:type="dxa"/>
            <w:gridSpan w:val="2"/>
            <w:tcBorders>
              <w:top w:val="single" w:sz="4" w:space="0" w:color="auto"/>
              <w:left w:val="single" w:sz="4" w:space="0" w:color="auto"/>
              <w:bottom w:val="nil"/>
              <w:right w:val="single" w:sz="4" w:space="0" w:color="000000"/>
            </w:tcBorders>
            <w:noWrap/>
            <w:vAlign w:val="bottom"/>
            <w:hideMark/>
          </w:tcPr>
          <w:p w14:paraId="298491DC" w14:textId="77777777" w:rsidR="00031CCE" w:rsidRPr="00EF1DC1" w:rsidRDefault="00031CCE">
            <w:pPr>
              <w:jc w:val="center"/>
              <w:rPr>
                <w:color w:val="000000"/>
                <w:sz w:val="22"/>
                <w:szCs w:val="22"/>
              </w:rPr>
            </w:pPr>
            <w:proofErr w:type="spellStart"/>
            <w:r w:rsidRPr="00EF1DC1">
              <w:rPr>
                <w:color w:val="000000"/>
                <w:sz w:val="22"/>
                <w:szCs w:val="22"/>
              </w:rPr>
              <w:t>Taşkent</w:t>
            </w:r>
            <w:proofErr w:type="spellEnd"/>
          </w:p>
        </w:tc>
        <w:tc>
          <w:tcPr>
            <w:tcW w:w="2520" w:type="dxa"/>
            <w:gridSpan w:val="2"/>
            <w:tcBorders>
              <w:top w:val="single" w:sz="4" w:space="0" w:color="auto"/>
              <w:left w:val="nil"/>
              <w:bottom w:val="nil"/>
              <w:right w:val="single" w:sz="4" w:space="0" w:color="000000"/>
            </w:tcBorders>
            <w:noWrap/>
            <w:vAlign w:val="bottom"/>
            <w:hideMark/>
          </w:tcPr>
          <w:p w14:paraId="5DDC6489" w14:textId="77777777" w:rsidR="00031CCE" w:rsidRPr="00EF1DC1" w:rsidRDefault="00031CCE">
            <w:pPr>
              <w:jc w:val="center"/>
              <w:rPr>
                <w:color w:val="000000"/>
                <w:sz w:val="22"/>
                <w:szCs w:val="22"/>
              </w:rPr>
            </w:pPr>
            <w:proofErr w:type="spellStart"/>
            <w:r w:rsidRPr="00EF1DC1">
              <w:rPr>
                <w:color w:val="000000"/>
                <w:sz w:val="22"/>
                <w:szCs w:val="22"/>
              </w:rPr>
              <w:t>Takachiho</w:t>
            </w:r>
            <w:proofErr w:type="spellEnd"/>
          </w:p>
        </w:tc>
        <w:tc>
          <w:tcPr>
            <w:tcW w:w="2571" w:type="dxa"/>
            <w:gridSpan w:val="2"/>
            <w:tcBorders>
              <w:top w:val="single" w:sz="4" w:space="0" w:color="auto"/>
              <w:left w:val="nil"/>
              <w:bottom w:val="nil"/>
              <w:right w:val="single" w:sz="4" w:space="0" w:color="000000"/>
            </w:tcBorders>
            <w:noWrap/>
            <w:vAlign w:val="bottom"/>
            <w:hideMark/>
          </w:tcPr>
          <w:p w14:paraId="6B09BDC6" w14:textId="77777777" w:rsidR="00031CCE" w:rsidRPr="00EF1DC1" w:rsidRDefault="00031CCE">
            <w:pPr>
              <w:jc w:val="center"/>
              <w:rPr>
                <w:color w:val="000000"/>
                <w:sz w:val="22"/>
                <w:szCs w:val="22"/>
              </w:rPr>
            </w:pPr>
            <w:r w:rsidRPr="00EF1DC1">
              <w:rPr>
                <w:color w:val="000000"/>
                <w:sz w:val="22"/>
                <w:szCs w:val="22"/>
              </w:rPr>
              <w:t>South China</w:t>
            </w:r>
          </w:p>
        </w:tc>
      </w:tr>
      <w:tr w:rsidR="00031CCE" w:rsidRPr="00EF1DC1" w14:paraId="67EB5436" w14:textId="77777777">
        <w:trPr>
          <w:trHeight w:val="320"/>
        </w:trPr>
        <w:tc>
          <w:tcPr>
            <w:tcW w:w="810" w:type="dxa"/>
            <w:tcBorders>
              <w:top w:val="nil"/>
              <w:left w:val="nil"/>
              <w:bottom w:val="single" w:sz="4" w:space="0" w:color="auto"/>
              <w:right w:val="nil"/>
            </w:tcBorders>
            <w:noWrap/>
            <w:vAlign w:val="bottom"/>
            <w:hideMark/>
          </w:tcPr>
          <w:p w14:paraId="0AE76685" w14:textId="77777777" w:rsidR="00031CCE" w:rsidRPr="00EF1DC1" w:rsidRDefault="00031CCE">
            <w:pPr>
              <w:rPr>
                <w:color w:val="000000"/>
                <w:sz w:val="22"/>
                <w:szCs w:val="22"/>
              </w:rPr>
            </w:pPr>
            <w:r w:rsidRPr="00EF1DC1">
              <w:rPr>
                <w:color w:val="000000"/>
                <w:sz w:val="22"/>
                <w:szCs w:val="22"/>
              </w:rPr>
              <w:t> </w:t>
            </w:r>
          </w:p>
        </w:tc>
        <w:tc>
          <w:tcPr>
            <w:tcW w:w="810" w:type="dxa"/>
            <w:tcBorders>
              <w:top w:val="nil"/>
              <w:left w:val="nil"/>
              <w:bottom w:val="single" w:sz="4" w:space="0" w:color="auto"/>
              <w:right w:val="nil"/>
            </w:tcBorders>
            <w:noWrap/>
            <w:vAlign w:val="bottom"/>
            <w:hideMark/>
          </w:tcPr>
          <w:p w14:paraId="6A54ADB1" w14:textId="77777777" w:rsidR="00031CCE" w:rsidRPr="00EF1DC1" w:rsidRDefault="00031CCE">
            <w:pPr>
              <w:rPr>
                <w:color w:val="000000"/>
                <w:sz w:val="22"/>
                <w:szCs w:val="22"/>
              </w:rPr>
            </w:pPr>
            <w:r w:rsidRPr="00EF1DC1">
              <w:rPr>
                <w:color w:val="000000"/>
                <w:sz w:val="22"/>
                <w:szCs w:val="22"/>
              </w:rPr>
              <w:t> </w:t>
            </w:r>
          </w:p>
        </w:tc>
        <w:tc>
          <w:tcPr>
            <w:tcW w:w="1350" w:type="dxa"/>
            <w:tcBorders>
              <w:top w:val="nil"/>
              <w:left w:val="single" w:sz="4" w:space="0" w:color="auto"/>
              <w:bottom w:val="single" w:sz="4" w:space="0" w:color="auto"/>
              <w:right w:val="nil"/>
            </w:tcBorders>
            <w:noWrap/>
            <w:vAlign w:val="bottom"/>
            <w:hideMark/>
          </w:tcPr>
          <w:p w14:paraId="4D98540A" w14:textId="77777777" w:rsidR="00031CCE" w:rsidRPr="00EF1DC1" w:rsidRDefault="00031CCE">
            <w:pPr>
              <w:ind w:right="-161"/>
              <w:jc w:val="center"/>
              <w:rPr>
                <w:color w:val="000000"/>
                <w:sz w:val="22"/>
                <w:szCs w:val="22"/>
              </w:rPr>
            </w:pPr>
            <w:r w:rsidRPr="00EF1DC1">
              <w:rPr>
                <w:color w:val="000000"/>
                <w:sz w:val="22"/>
                <w:szCs w:val="22"/>
              </w:rPr>
              <w:t>Spearman's ρ</w:t>
            </w:r>
          </w:p>
        </w:tc>
        <w:tc>
          <w:tcPr>
            <w:tcW w:w="1080" w:type="dxa"/>
            <w:tcBorders>
              <w:top w:val="nil"/>
              <w:left w:val="nil"/>
              <w:bottom w:val="single" w:sz="4" w:space="0" w:color="auto"/>
              <w:right w:val="single" w:sz="4" w:space="0" w:color="auto"/>
            </w:tcBorders>
            <w:noWrap/>
            <w:vAlign w:val="bottom"/>
            <w:hideMark/>
          </w:tcPr>
          <w:p w14:paraId="67DCDD52" w14:textId="77777777" w:rsidR="00031CCE" w:rsidRPr="00EF1DC1" w:rsidRDefault="00031CCE">
            <w:pPr>
              <w:jc w:val="center"/>
              <w:rPr>
                <w:color w:val="000000"/>
                <w:sz w:val="22"/>
                <w:szCs w:val="22"/>
              </w:rPr>
            </w:pPr>
            <w:r w:rsidRPr="00EF1DC1">
              <w:rPr>
                <w:color w:val="000000"/>
                <w:sz w:val="22"/>
                <w:szCs w:val="22"/>
              </w:rPr>
              <w:t>p-value</w:t>
            </w:r>
          </w:p>
        </w:tc>
        <w:tc>
          <w:tcPr>
            <w:tcW w:w="1440" w:type="dxa"/>
            <w:tcBorders>
              <w:top w:val="nil"/>
              <w:left w:val="nil"/>
              <w:bottom w:val="single" w:sz="4" w:space="0" w:color="auto"/>
              <w:right w:val="nil"/>
            </w:tcBorders>
            <w:noWrap/>
            <w:vAlign w:val="bottom"/>
            <w:hideMark/>
          </w:tcPr>
          <w:p w14:paraId="1F237CE4" w14:textId="77777777" w:rsidR="00031CCE" w:rsidRPr="00EF1DC1" w:rsidRDefault="00031CCE">
            <w:pPr>
              <w:jc w:val="center"/>
              <w:rPr>
                <w:color w:val="000000"/>
                <w:sz w:val="22"/>
                <w:szCs w:val="22"/>
              </w:rPr>
            </w:pPr>
            <w:r w:rsidRPr="00EF1DC1">
              <w:rPr>
                <w:color w:val="000000"/>
                <w:sz w:val="22"/>
                <w:szCs w:val="22"/>
              </w:rPr>
              <w:t>Spearman's ρ</w:t>
            </w:r>
          </w:p>
        </w:tc>
        <w:tc>
          <w:tcPr>
            <w:tcW w:w="1080" w:type="dxa"/>
            <w:tcBorders>
              <w:top w:val="nil"/>
              <w:left w:val="nil"/>
              <w:bottom w:val="single" w:sz="4" w:space="0" w:color="auto"/>
              <w:right w:val="single" w:sz="4" w:space="0" w:color="auto"/>
            </w:tcBorders>
            <w:noWrap/>
            <w:vAlign w:val="bottom"/>
            <w:hideMark/>
          </w:tcPr>
          <w:p w14:paraId="2F7AF219" w14:textId="77777777" w:rsidR="00031CCE" w:rsidRPr="00EF1DC1" w:rsidRDefault="00031CCE">
            <w:pPr>
              <w:jc w:val="center"/>
              <w:rPr>
                <w:color w:val="000000"/>
                <w:sz w:val="22"/>
                <w:szCs w:val="22"/>
              </w:rPr>
            </w:pPr>
            <w:r w:rsidRPr="00EF1DC1">
              <w:rPr>
                <w:color w:val="000000"/>
                <w:sz w:val="22"/>
                <w:szCs w:val="22"/>
              </w:rPr>
              <w:t>p-value</w:t>
            </w:r>
          </w:p>
        </w:tc>
        <w:tc>
          <w:tcPr>
            <w:tcW w:w="1534" w:type="dxa"/>
            <w:tcBorders>
              <w:top w:val="nil"/>
              <w:left w:val="nil"/>
              <w:bottom w:val="single" w:sz="4" w:space="0" w:color="auto"/>
              <w:right w:val="nil"/>
            </w:tcBorders>
            <w:noWrap/>
            <w:vAlign w:val="bottom"/>
            <w:hideMark/>
          </w:tcPr>
          <w:p w14:paraId="1AA6768F" w14:textId="77777777" w:rsidR="00031CCE" w:rsidRPr="00EF1DC1" w:rsidRDefault="00031CCE">
            <w:pPr>
              <w:jc w:val="center"/>
              <w:rPr>
                <w:color w:val="000000"/>
                <w:sz w:val="22"/>
                <w:szCs w:val="22"/>
              </w:rPr>
            </w:pPr>
            <w:r w:rsidRPr="00EF1DC1">
              <w:rPr>
                <w:color w:val="000000"/>
                <w:sz w:val="22"/>
                <w:szCs w:val="22"/>
              </w:rPr>
              <w:t>Spearman's ρ</w:t>
            </w:r>
          </w:p>
        </w:tc>
        <w:tc>
          <w:tcPr>
            <w:tcW w:w="1037" w:type="dxa"/>
            <w:tcBorders>
              <w:top w:val="nil"/>
              <w:left w:val="nil"/>
              <w:bottom w:val="single" w:sz="4" w:space="0" w:color="auto"/>
              <w:right w:val="single" w:sz="4" w:space="0" w:color="auto"/>
            </w:tcBorders>
            <w:noWrap/>
            <w:vAlign w:val="bottom"/>
            <w:hideMark/>
          </w:tcPr>
          <w:p w14:paraId="7F1F1EBE" w14:textId="77777777" w:rsidR="00031CCE" w:rsidRPr="00EF1DC1" w:rsidRDefault="00031CCE">
            <w:pPr>
              <w:jc w:val="center"/>
              <w:rPr>
                <w:color w:val="000000"/>
                <w:sz w:val="22"/>
                <w:szCs w:val="22"/>
              </w:rPr>
            </w:pPr>
            <w:r w:rsidRPr="00EF1DC1">
              <w:rPr>
                <w:color w:val="000000"/>
                <w:sz w:val="22"/>
                <w:szCs w:val="22"/>
              </w:rPr>
              <w:t>p-value</w:t>
            </w:r>
          </w:p>
        </w:tc>
      </w:tr>
      <w:tr w:rsidR="00031CCE" w:rsidRPr="00EF1DC1" w14:paraId="025DDA1D" w14:textId="77777777">
        <w:trPr>
          <w:trHeight w:val="320"/>
        </w:trPr>
        <w:tc>
          <w:tcPr>
            <w:tcW w:w="810" w:type="dxa"/>
            <w:vMerge w:val="restart"/>
            <w:tcBorders>
              <w:top w:val="nil"/>
              <w:left w:val="nil"/>
              <w:bottom w:val="single" w:sz="4" w:space="0" w:color="000000"/>
              <w:right w:val="nil"/>
            </w:tcBorders>
            <w:noWrap/>
            <w:hideMark/>
          </w:tcPr>
          <w:p w14:paraId="4A0A78C1" w14:textId="4EC78004" w:rsidR="00031CCE" w:rsidRPr="00EF1DC1" w:rsidRDefault="00BB4712">
            <w:pPr>
              <w:jc w:val="center"/>
              <w:rPr>
                <w:color w:val="000000"/>
                <w:sz w:val="22"/>
                <w:szCs w:val="22"/>
              </w:rPr>
            </w:pPr>
            <w:r w:rsidRPr="00EF1DC1">
              <w:rPr>
                <w:color w:val="000000"/>
                <w:sz w:val="22"/>
                <w:szCs w:val="22"/>
              </w:rPr>
              <w:t>δ</w:t>
            </w:r>
            <w:r w:rsidRPr="00EF1DC1">
              <w:rPr>
                <w:color w:val="000000"/>
                <w:sz w:val="22"/>
                <w:szCs w:val="22"/>
                <w:vertAlign w:val="superscript"/>
              </w:rPr>
              <w:t>7</w:t>
            </w:r>
            <w:r w:rsidR="00031CCE" w:rsidRPr="00EF1DC1">
              <w:rPr>
                <w:color w:val="000000"/>
                <w:sz w:val="22"/>
                <w:szCs w:val="22"/>
              </w:rPr>
              <w:t>Li vs</w:t>
            </w:r>
          </w:p>
        </w:tc>
        <w:tc>
          <w:tcPr>
            <w:tcW w:w="810" w:type="dxa"/>
            <w:tcBorders>
              <w:top w:val="nil"/>
              <w:left w:val="nil"/>
              <w:bottom w:val="nil"/>
              <w:right w:val="nil"/>
            </w:tcBorders>
            <w:noWrap/>
            <w:vAlign w:val="bottom"/>
            <w:hideMark/>
          </w:tcPr>
          <w:p w14:paraId="0EC7557D" w14:textId="77777777" w:rsidR="00031CCE" w:rsidRPr="00EF1DC1" w:rsidRDefault="00031CCE">
            <w:pPr>
              <w:rPr>
                <w:color w:val="000000"/>
                <w:sz w:val="22"/>
                <w:szCs w:val="22"/>
              </w:rPr>
            </w:pPr>
            <w:r w:rsidRPr="00EF1DC1">
              <w:rPr>
                <w:color w:val="000000"/>
                <w:sz w:val="22"/>
                <w:szCs w:val="22"/>
              </w:rPr>
              <w:t>Li/Ca</w:t>
            </w:r>
          </w:p>
        </w:tc>
        <w:tc>
          <w:tcPr>
            <w:tcW w:w="1350" w:type="dxa"/>
            <w:tcBorders>
              <w:top w:val="nil"/>
              <w:left w:val="single" w:sz="4" w:space="0" w:color="auto"/>
              <w:bottom w:val="nil"/>
              <w:right w:val="nil"/>
            </w:tcBorders>
            <w:noWrap/>
            <w:vAlign w:val="bottom"/>
            <w:hideMark/>
          </w:tcPr>
          <w:p w14:paraId="102759EE" w14:textId="77777777" w:rsidR="00031CCE" w:rsidRPr="00EF1DC1" w:rsidRDefault="00031CCE">
            <w:pPr>
              <w:jc w:val="center"/>
              <w:rPr>
                <w:color w:val="000000"/>
                <w:sz w:val="22"/>
                <w:szCs w:val="22"/>
              </w:rPr>
            </w:pPr>
            <w:r w:rsidRPr="00EF1DC1">
              <w:rPr>
                <w:color w:val="000000"/>
                <w:sz w:val="22"/>
                <w:szCs w:val="22"/>
              </w:rPr>
              <w:t>0.17</w:t>
            </w:r>
          </w:p>
        </w:tc>
        <w:tc>
          <w:tcPr>
            <w:tcW w:w="1080" w:type="dxa"/>
            <w:tcBorders>
              <w:top w:val="nil"/>
              <w:left w:val="nil"/>
              <w:bottom w:val="nil"/>
              <w:right w:val="single" w:sz="4" w:space="0" w:color="auto"/>
            </w:tcBorders>
            <w:noWrap/>
            <w:vAlign w:val="bottom"/>
            <w:hideMark/>
          </w:tcPr>
          <w:p w14:paraId="50B1B7CE" w14:textId="77777777" w:rsidR="00031CCE" w:rsidRPr="00EF1DC1" w:rsidRDefault="00031CCE">
            <w:pPr>
              <w:jc w:val="center"/>
              <w:rPr>
                <w:color w:val="000000"/>
                <w:sz w:val="22"/>
                <w:szCs w:val="22"/>
              </w:rPr>
            </w:pPr>
            <w:r w:rsidRPr="00EF1DC1">
              <w:rPr>
                <w:color w:val="000000"/>
                <w:sz w:val="22"/>
                <w:szCs w:val="22"/>
              </w:rPr>
              <w:t>0.34</w:t>
            </w:r>
          </w:p>
        </w:tc>
        <w:tc>
          <w:tcPr>
            <w:tcW w:w="1440" w:type="dxa"/>
            <w:tcBorders>
              <w:top w:val="nil"/>
              <w:left w:val="nil"/>
              <w:bottom w:val="nil"/>
              <w:right w:val="nil"/>
            </w:tcBorders>
            <w:noWrap/>
            <w:vAlign w:val="bottom"/>
            <w:hideMark/>
          </w:tcPr>
          <w:p w14:paraId="4CE54A74" w14:textId="7DD27B4C" w:rsidR="00031CCE" w:rsidRPr="00EF1DC1" w:rsidRDefault="00031CCE">
            <w:pPr>
              <w:jc w:val="center"/>
              <w:rPr>
                <w:color w:val="000000"/>
                <w:sz w:val="22"/>
                <w:szCs w:val="22"/>
              </w:rPr>
            </w:pPr>
            <w:r w:rsidRPr="00EF1DC1">
              <w:rPr>
                <w:color w:val="000000"/>
                <w:sz w:val="22"/>
                <w:szCs w:val="22"/>
              </w:rPr>
              <w:t>-0.</w:t>
            </w:r>
            <w:r w:rsidR="006344DD" w:rsidRPr="00EF1DC1">
              <w:rPr>
                <w:color w:val="000000"/>
                <w:sz w:val="22"/>
                <w:szCs w:val="22"/>
              </w:rPr>
              <w:t>16</w:t>
            </w:r>
          </w:p>
        </w:tc>
        <w:tc>
          <w:tcPr>
            <w:tcW w:w="1080" w:type="dxa"/>
            <w:tcBorders>
              <w:top w:val="nil"/>
              <w:left w:val="nil"/>
              <w:bottom w:val="nil"/>
              <w:right w:val="single" w:sz="4" w:space="0" w:color="auto"/>
            </w:tcBorders>
            <w:noWrap/>
            <w:vAlign w:val="bottom"/>
            <w:hideMark/>
          </w:tcPr>
          <w:p w14:paraId="13661E35" w14:textId="55CA7EE5" w:rsidR="00031CCE" w:rsidRPr="00EF1DC1" w:rsidRDefault="00031CCE">
            <w:pPr>
              <w:jc w:val="center"/>
              <w:rPr>
                <w:color w:val="000000"/>
                <w:sz w:val="22"/>
                <w:szCs w:val="22"/>
              </w:rPr>
            </w:pPr>
            <w:r w:rsidRPr="00EF1DC1">
              <w:rPr>
                <w:color w:val="000000"/>
                <w:sz w:val="22"/>
                <w:szCs w:val="22"/>
              </w:rPr>
              <w:t>0.3</w:t>
            </w:r>
            <w:r w:rsidR="006344DD" w:rsidRPr="00EF1DC1">
              <w:rPr>
                <w:color w:val="000000"/>
                <w:sz w:val="22"/>
                <w:szCs w:val="22"/>
              </w:rPr>
              <w:t>9</w:t>
            </w:r>
          </w:p>
        </w:tc>
        <w:tc>
          <w:tcPr>
            <w:tcW w:w="1534" w:type="dxa"/>
            <w:tcBorders>
              <w:top w:val="nil"/>
              <w:left w:val="nil"/>
              <w:bottom w:val="nil"/>
              <w:right w:val="nil"/>
            </w:tcBorders>
            <w:noWrap/>
            <w:vAlign w:val="bottom"/>
            <w:hideMark/>
          </w:tcPr>
          <w:p w14:paraId="4FA19778" w14:textId="77777777" w:rsidR="00031CCE" w:rsidRPr="00EF1DC1" w:rsidRDefault="00031CCE">
            <w:pPr>
              <w:jc w:val="center"/>
              <w:rPr>
                <w:b/>
                <w:bCs/>
                <w:color w:val="000000"/>
                <w:sz w:val="22"/>
                <w:szCs w:val="22"/>
              </w:rPr>
            </w:pPr>
            <w:r w:rsidRPr="00EF1DC1">
              <w:rPr>
                <w:b/>
                <w:bCs/>
                <w:color w:val="000000"/>
                <w:sz w:val="22"/>
                <w:szCs w:val="22"/>
              </w:rPr>
              <w:t>-0.60</w:t>
            </w:r>
          </w:p>
        </w:tc>
        <w:tc>
          <w:tcPr>
            <w:tcW w:w="1037" w:type="dxa"/>
            <w:tcBorders>
              <w:top w:val="nil"/>
              <w:left w:val="nil"/>
              <w:bottom w:val="nil"/>
              <w:right w:val="single" w:sz="4" w:space="0" w:color="auto"/>
            </w:tcBorders>
            <w:noWrap/>
            <w:vAlign w:val="bottom"/>
            <w:hideMark/>
          </w:tcPr>
          <w:p w14:paraId="053CA3A0" w14:textId="77777777" w:rsidR="00031CCE" w:rsidRPr="00EF1DC1" w:rsidRDefault="00031CCE">
            <w:pPr>
              <w:jc w:val="center"/>
              <w:rPr>
                <w:b/>
                <w:bCs/>
                <w:color w:val="000000"/>
                <w:sz w:val="22"/>
                <w:szCs w:val="22"/>
              </w:rPr>
            </w:pPr>
            <w:r w:rsidRPr="00EF1DC1">
              <w:rPr>
                <w:b/>
                <w:bCs/>
                <w:color w:val="000000"/>
                <w:sz w:val="22"/>
                <w:szCs w:val="22"/>
              </w:rPr>
              <w:t>0.01</w:t>
            </w:r>
          </w:p>
        </w:tc>
      </w:tr>
      <w:tr w:rsidR="00031CCE" w:rsidRPr="00EF1DC1" w14:paraId="237F00BC" w14:textId="77777777">
        <w:trPr>
          <w:trHeight w:val="320"/>
        </w:trPr>
        <w:tc>
          <w:tcPr>
            <w:tcW w:w="810" w:type="dxa"/>
            <w:vMerge/>
            <w:tcBorders>
              <w:top w:val="nil"/>
              <w:left w:val="nil"/>
              <w:bottom w:val="single" w:sz="4" w:space="0" w:color="000000"/>
              <w:right w:val="nil"/>
            </w:tcBorders>
            <w:vAlign w:val="center"/>
            <w:hideMark/>
          </w:tcPr>
          <w:p w14:paraId="65854BB9" w14:textId="77777777" w:rsidR="00031CCE" w:rsidRPr="00EF1DC1" w:rsidRDefault="00031CCE">
            <w:pPr>
              <w:rPr>
                <w:color w:val="000000"/>
                <w:sz w:val="22"/>
                <w:szCs w:val="22"/>
              </w:rPr>
            </w:pPr>
          </w:p>
        </w:tc>
        <w:tc>
          <w:tcPr>
            <w:tcW w:w="810" w:type="dxa"/>
            <w:tcBorders>
              <w:top w:val="nil"/>
              <w:left w:val="nil"/>
              <w:bottom w:val="nil"/>
              <w:right w:val="nil"/>
            </w:tcBorders>
            <w:noWrap/>
            <w:vAlign w:val="bottom"/>
            <w:hideMark/>
          </w:tcPr>
          <w:p w14:paraId="45B6D319" w14:textId="77777777" w:rsidR="00031CCE" w:rsidRPr="00EF1DC1" w:rsidRDefault="00031CCE">
            <w:pPr>
              <w:rPr>
                <w:color w:val="000000"/>
                <w:sz w:val="22"/>
                <w:szCs w:val="22"/>
              </w:rPr>
            </w:pPr>
            <w:r w:rsidRPr="00EF1DC1">
              <w:rPr>
                <w:color w:val="000000"/>
                <w:sz w:val="22"/>
                <w:szCs w:val="22"/>
              </w:rPr>
              <w:t>Al/Ca</w:t>
            </w:r>
          </w:p>
        </w:tc>
        <w:tc>
          <w:tcPr>
            <w:tcW w:w="1350" w:type="dxa"/>
            <w:tcBorders>
              <w:top w:val="nil"/>
              <w:left w:val="single" w:sz="4" w:space="0" w:color="auto"/>
              <w:bottom w:val="nil"/>
              <w:right w:val="nil"/>
            </w:tcBorders>
            <w:noWrap/>
            <w:vAlign w:val="bottom"/>
            <w:hideMark/>
          </w:tcPr>
          <w:p w14:paraId="11CD3D3A" w14:textId="77777777" w:rsidR="00031CCE" w:rsidRPr="00EF1DC1" w:rsidRDefault="00031CCE">
            <w:pPr>
              <w:jc w:val="center"/>
              <w:rPr>
                <w:color w:val="000000"/>
                <w:sz w:val="22"/>
                <w:szCs w:val="22"/>
              </w:rPr>
            </w:pPr>
            <w:r w:rsidRPr="00EF1DC1">
              <w:rPr>
                <w:color w:val="000000"/>
                <w:sz w:val="22"/>
                <w:szCs w:val="22"/>
              </w:rPr>
              <w:t>0.08</w:t>
            </w:r>
          </w:p>
        </w:tc>
        <w:tc>
          <w:tcPr>
            <w:tcW w:w="1080" w:type="dxa"/>
            <w:tcBorders>
              <w:top w:val="nil"/>
              <w:left w:val="nil"/>
              <w:bottom w:val="nil"/>
              <w:right w:val="single" w:sz="4" w:space="0" w:color="auto"/>
            </w:tcBorders>
            <w:noWrap/>
            <w:vAlign w:val="bottom"/>
            <w:hideMark/>
          </w:tcPr>
          <w:p w14:paraId="09B29711" w14:textId="77777777" w:rsidR="00031CCE" w:rsidRPr="00EF1DC1" w:rsidRDefault="00031CCE">
            <w:pPr>
              <w:jc w:val="center"/>
              <w:rPr>
                <w:color w:val="000000"/>
                <w:sz w:val="22"/>
                <w:szCs w:val="22"/>
              </w:rPr>
            </w:pPr>
            <w:r w:rsidRPr="00EF1DC1">
              <w:rPr>
                <w:color w:val="000000"/>
                <w:sz w:val="22"/>
                <w:szCs w:val="22"/>
              </w:rPr>
              <w:t>0.65</w:t>
            </w:r>
          </w:p>
        </w:tc>
        <w:tc>
          <w:tcPr>
            <w:tcW w:w="1440" w:type="dxa"/>
            <w:tcBorders>
              <w:top w:val="nil"/>
              <w:left w:val="nil"/>
              <w:bottom w:val="nil"/>
              <w:right w:val="nil"/>
            </w:tcBorders>
            <w:noWrap/>
            <w:vAlign w:val="bottom"/>
            <w:hideMark/>
          </w:tcPr>
          <w:p w14:paraId="235A151C" w14:textId="4B177810" w:rsidR="00031CCE" w:rsidRPr="00EF1DC1" w:rsidRDefault="00031CCE">
            <w:pPr>
              <w:jc w:val="center"/>
              <w:rPr>
                <w:b/>
                <w:bCs/>
                <w:color w:val="000000"/>
                <w:sz w:val="22"/>
                <w:szCs w:val="22"/>
              </w:rPr>
            </w:pPr>
            <w:r w:rsidRPr="00EF1DC1">
              <w:rPr>
                <w:b/>
                <w:bCs/>
                <w:color w:val="000000"/>
                <w:sz w:val="22"/>
                <w:szCs w:val="22"/>
              </w:rPr>
              <w:t>-0.</w:t>
            </w:r>
            <w:r w:rsidR="006344DD" w:rsidRPr="00EF1DC1">
              <w:rPr>
                <w:b/>
                <w:bCs/>
                <w:color w:val="000000"/>
                <w:sz w:val="22"/>
                <w:szCs w:val="22"/>
              </w:rPr>
              <w:t>44</w:t>
            </w:r>
          </w:p>
        </w:tc>
        <w:tc>
          <w:tcPr>
            <w:tcW w:w="1080" w:type="dxa"/>
            <w:tcBorders>
              <w:top w:val="nil"/>
              <w:left w:val="nil"/>
              <w:bottom w:val="nil"/>
              <w:right w:val="single" w:sz="4" w:space="0" w:color="auto"/>
            </w:tcBorders>
            <w:noWrap/>
            <w:vAlign w:val="bottom"/>
            <w:hideMark/>
          </w:tcPr>
          <w:p w14:paraId="51E893E9" w14:textId="4ADB67CE" w:rsidR="00031CCE" w:rsidRPr="00EF1DC1" w:rsidRDefault="006344DD">
            <w:pPr>
              <w:jc w:val="center"/>
              <w:rPr>
                <w:b/>
                <w:bCs/>
                <w:color w:val="000000"/>
                <w:sz w:val="22"/>
                <w:szCs w:val="22"/>
              </w:rPr>
            </w:pPr>
            <w:r w:rsidRPr="00EF1DC1">
              <w:rPr>
                <w:b/>
                <w:bCs/>
                <w:color w:val="000000"/>
                <w:sz w:val="22"/>
                <w:szCs w:val="22"/>
              </w:rPr>
              <w:t>0.02</w:t>
            </w:r>
          </w:p>
        </w:tc>
        <w:tc>
          <w:tcPr>
            <w:tcW w:w="1534" w:type="dxa"/>
            <w:tcBorders>
              <w:top w:val="nil"/>
              <w:left w:val="nil"/>
              <w:bottom w:val="nil"/>
              <w:right w:val="nil"/>
            </w:tcBorders>
            <w:noWrap/>
            <w:vAlign w:val="bottom"/>
            <w:hideMark/>
          </w:tcPr>
          <w:p w14:paraId="627F2916" w14:textId="77777777" w:rsidR="00031CCE" w:rsidRPr="00EF1DC1" w:rsidRDefault="00031CCE">
            <w:pPr>
              <w:jc w:val="center"/>
              <w:rPr>
                <w:color w:val="000000"/>
                <w:sz w:val="22"/>
                <w:szCs w:val="22"/>
              </w:rPr>
            </w:pPr>
            <w:r w:rsidRPr="00EF1DC1">
              <w:rPr>
                <w:color w:val="000000"/>
                <w:sz w:val="22"/>
                <w:szCs w:val="22"/>
              </w:rPr>
              <w:t>0.08</w:t>
            </w:r>
          </w:p>
        </w:tc>
        <w:tc>
          <w:tcPr>
            <w:tcW w:w="1037" w:type="dxa"/>
            <w:tcBorders>
              <w:top w:val="nil"/>
              <w:left w:val="nil"/>
              <w:bottom w:val="nil"/>
              <w:right w:val="single" w:sz="4" w:space="0" w:color="auto"/>
            </w:tcBorders>
            <w:noWrap/>
            <w:vAlign w:val="bottom"/>
            <w:hideMark/>
          </w:tcPr>
          <w:p w14:paraId="435809DB" w14:textId="77777777" w:rsidR="00031CCE" w:rsidRPr="00EF1DC1" w:rsidRDefault="00031CCE">
            <w:pPr>
              <w:jc w:val="center"/>
              <w:rPr>
                <w:color w:val="000000"/>
                <w:sz w:val="22"/>
                <w:szCs w:val="22"/>
              </w:rPr>
            </w:pPr>
            <w:r w:rsidRPr="00EF1DC1">
              <w:rPr>
                <w:color w:val="000000"/>
                <w:sz w:val="22"/>
                <w:szCs w:val="22"/>
              </w:rPr>
              <w:t>0.75</w:t>
            </w:r>
          </w:p>
        </w:tc>
      </w:tr>
      <w:tr w:rsidR="00031CCE" w:rsidRPr="00EF1DC1" w14:paraId="48853D7D" w14:textId="77777777" w:rsidTr="0019717A">
        <w:trPr>
          <w:trHeight w:val="320"/>
        </w:trPr>
        <w:tc>
          <w:tcPr>
            <w:tcW w:w="810" w:type="dxa"/>
            <w:vMerge/>
            <w:tcBorders>
              <w:top w:val="nil"/>
              <w:left w:val="nil"/>
              <w:bottom w:val="single" w:sz="4" w:space="0" w:color="000000"/>
              <w:right w:val="nil"/>
            </w:tcBorders>
            <w:vAlign w:val="center"/>
            <w:hideMark/>
          </w:tcPr>
          <w:p w14:paraId="5A4BEE88" w14:textId="77777777" w:rsidR="00031CCE" w:rsidRPr="00EF1DC1" w:rsidRDefault="00031CCE">
            <w:pPr>
              <w:rPr>
                <w:color w:val="000000"/>
                <w:sz w:val="22"/>
                <w:szCs w:val="22"/>
              </w:rPr>
            </w:pPr>
          </w:p>
        </w:tc>
        <w:tc>
          <w:tcPr>
            <w:tcW w:w="810" w:type="dxa"/>
            <w:tcBorders>
              <w:top w:val="nil"/>
              <w:left w:val="nil"/>
              <w:right w:val="nil"/>
            </w:tcBorders>
            <w:noWrap/>
            <w:vAlign w:val="bottom"/>
            <w:hideMark/>
          </w:tcPr>
          <w:p w14:paraId="2E0AC720" w14:textId="77777777" w:rsidR="00031CCE" w:rsidRPr="00EF1DC1" w:rsidRDefault="00031CCE">
            <w:pPr>
              <w:rPr>
                <w:color w:val="000000"/>
                <w:sz w:val="22"/>
                <w:szCs w:val="22"/>
              </w:rPr>
            </w:pPr>
            <w:r w:rsidRPr="00EF1DC1">
              <w:rPr>
                <w:color w:val="000000"/>
                <w:sz w:val="22"/>
                <w:szCs w:val="22"/>
              </w:rPr>
              <w:t>Sr/Ca</w:t>
            </w:r>
          </w:p>
        </w:tc>
        <w:tc>
          <w:tcPr>
            <w:tcW w:w="1350" w:type="dxa"/>
            <w:tcBorders>
              <w:top w:val="nil"/>
              <w:left w:val="single" w:sz="4" w:space="0" w:color="auto"/>
              <w:right w:val="nil"/>
            </w:tcBorders>
            <w:noWrap/>
            <w:vAlign w:val="bottom"/>
            <w:hideMark/>
          </w:tcPr>
          <w:p w14:paraId="6E85E9CB" w14:textId="77777777" w:rsidR="00031CCE" w:rsidRPr="00EF1DC1" w:rsidRDefault="00031CCE">
            <w:pPr>
              <w:jc w:val="center"/>
              <w:rPr>
                <w:b/>
                <w:bCs/>
                <w:color w:val="000000"/>
                <w:sz w:val="22"/>
                <w:szCs w:val="22"/>
              </w:rPr>
            </w:pPr>
            <w:r w:rsidRPr="00EF1DC1">
              <w:rPr>
                <w:b/>
                <w:bCs/>
                <w:color w:val="000000"/>
                <w:sz w:val="22"/>
                <w:szCs w:val="22"/>
              </w:rPr>
              <w:t>-0.44</w:t>
            </w:r>
          </w:p>
        </w:tc>
        <w:tc>
          <w:tcPr>
            <w:tcW w:w="1080" w:type="dxa"/>
            <w:tcBorders>
              <w:top w:val="nil"/>
              <w:left w:val="nil"/>
              <w:right w:val="single" w:sz="4" w:space="0" w:color="auto"/>
            </w:tcBorders>
            <w:noWrap/>
            <w:vAlign w:val="bottom"/>
            <w:hideMark/>
          </w:tcPr>
          <w:p w14:paraId="2267026A" w14:textId="77777777" w:rsidR="00031CCE" w:rsidRPr="00EF1DC1" w:rsidRDefault="00031CCE">
            <w:pPr>
              <w:jc w:val="center"/>
              <w:rPr>
                <w:b/>
                <w:bCs/>
                <w:color w:val="000000"/>
                <w:sz w:val="22"/>
                <w:szCs w:val="22"/>
              </w:rPr>
            </w:pPr>
            <w:r w:rsidRPr="00EF1DC1">
              <w:rPr>
                <w:b/>
                <w:bCs/>
                <w:color w:val="000000"/>
                <w:sz w:val="22"/>
                <w:szCs w:val="22"/>
              </w:rPr>
              <w:t>0.01</w:t>
            </w:r>
          </w:p>
        </w:tc>
        <w:tc>
          <w:tcPr>
            <w:tcW w:w="1440" w:type="dxa"/>
            <w:tcBorders>
              <w:top w:val="nil"/>
              <w:left w:val="nil"/>
              <w:right w:val="nil"/>
            </w:tcBorders>
            <w:noWrap/>
            <w:vAlign w:val="bottom"/>
            <w:hideMark/>
          </w:tcPr>
          <w:p w14:paraId="64D4651D" w14:textId="1621C194" w:rsidR="00031CCE" w:rsidRPr="00EF1DC1" w:rsidRDefault="00031CCE">
            <w:pPr>
              <w:jc w:val="center"/>
              <w:rPr>
                <w:color w:val="000000"/>
                <w:sz w:val="22"/>
                <w:szCs w:val="22"/>
              </w:rPr>
            </w:pPr>
            <w:r w:rsidRPr="00EF1DC1">
              <w:rPr>
                <w:color w:val="000000"/>
                <w:sz w:val="22"/>
                <w:szCs w:val="22"/>
              </w:rPr>
              <w:t>-0.</w:t>
            </w:r>
            <w:r w:rsidR="006344DD" w:rsidRPr="00EF1DC1">
              <w:rPr>
                <w:color w:val="000000"/>
                <w:sz w:val="22"/>
                <w:szCs w:val="22"/>
              </w:rPr>
              <w:t>1</w:t>
            </w:r>
            <w:r w:rsidRPr="00EF1DC1">
              <w:rPr>
                <w:color w:val="000000"/>
                <w:sz w:val="22"/>
                <w:szCs w:val="22"/>
              </w:rPr>
              <w:t>8</w:t>
            </w:r>
          </w:p>
        </w:tc>
        <w:tc>
          <w:tcPr>
            <w:tcW w:w="1080" w:type="dxa"/>
            <w:tcBorders>
              <w:top w:val="nil"/>
              <w:left w:val="nil"/>
              <w:right w:val="single" w:sz="4" w:space="0" w:color="auto"/>
            </w:tcBorders>
            <w:noWrap/>
            <w:vAlign w:val="bottom"/>
            <w:hideMark/>
          </w:tcPr>
          <w:p w14:paraId="4337E3C0" w14:textId="0C07559B" w:rsidR="00031CCE" w:rsidRPr="00EF1DC1" w:rsidRDefault="00031CCE">
            <w:pPr>
              <w:jc w:val="center"/>
              <w:rPr>
                <w:color w:val="000000"/>
                <w:sz w:val="22"/>
                <w:szCs w:val="22"/>
              </w:rPr>
            </w:pPr>
            <w:r w:rsidRPr="00EF1DC1">
              <w:rPr>
                <w:color w:val="000000"/>
                <w:sz w:val="22"/>
                <w:szCs w:val="22"/>
              </w:rPr>
              <w:t>0.</w:t>
            </w:r>
            <w:r w:rsidR="006344DD" w:rsidRPr="00EF1DC1">
              <w:rPr>
                <w:color w:val="000000"/>
                <w:sz w:val="22"/>
                <w:szCs w:val="22"/>
              </w:rPr>
              <w:t>35</w:t>
            </w:r>
          </w:p>
        </w:tc>
        <w:tc>
          <w:tcPr>
            <w:tcW w:w="1534" w:type="dxa"/>
            <w:tcBorders>
              <w:top w:val="nil"/>
              <w:left w:val="nil"/>
              <w:right w:val="nil"/>
            </w:tcBorders>
            <w:noWrap/>
            <w:vAlign w:val="bottom"/>
            <w:hideMark/>
          </w:tcPr>
          <w:p w14:paraId="52290AE6" w14:textId="77777777" w:rsidR="00031CCE" w:rsidRPr="00EF1DC1" w:rsidRDefault="00031CCE">
            <w:pPr>
              <w:jc w:val="center"/>
              <w:rPr>
                <w:b/>
                <w:bCs/>
                <w:color w:val="000000"/>
                <w:sz w:val="22"/>
                <w:szCs w:val="22"/>
              </w:rPr>
            </w:pPr>
            <w:r w:rsidRPr="00EF1DC1">
              <w:rPr>
                <w:b/>
                <w:bCs/>
                <w:color w:val="000000"/>
                <w:sz w:val="22"/>
                <w:szCs w:val="22"/>
              </w:rPr>
              <w:t>-0.52</w:t>
            </w:r>
          </w:p>
        </w:tc>
        <w:tc>
          <w:tcPr>
            <w:tcW w:w="1037" w:type="dxa"/>
            <w:tcBorders>
              <w:top w:val="nil"/>
              <w:left w:val="nil"/>
              <w:right w:val="single" w:sz="4" w:space="0" w:color="auto"/>
            </w:tcBorders>
            <w:noWrap/>
            <w:vAlign w:val="bottom"/>
            <w:hideMark/>
          </w:tcPr>
          <w:p w14:paraId="0B9404B5" w14:textId="77777777" w:rsidR="00031CCE" w:rsidRPr="00EF1DC1" w:rsidRDefault="00031CCE">
            <w:pPr>
              <w:jc w:val="center"/>
              <w:rPr>
                <w:b/>
                <w:bCs/>
                <w:color w:val="000000"/>
                <w:sz w:val="22"/>
                <w:szCs w:val="22"/>
              </w:rPr>
            </w:pPr>
            <w:r w:rsidRPr="00EF1DC1">
              <w:rPr>
                <w:b/>
                <w:bCs/>
                <w:color w:val="000000"/>
                <w:sz w:val="22"/>
                <w:szCs w:val="22"/>
              </w:rPr>
              <w:t>0.02</w:t>
            </w:r>
          </w:p>
        </w:tc>
      </w:tr>
      <w:tr w:rsidR="0019717A" w:rsidRPr="00EF1DC1" w14:paraId="6886CD8F" w14:textId="77777777" w:rsidTr="0019717A">
        <w:trPr>
          <w:trHeight w:val="320"/>
        </w:trPr>
        <w:tc>
          <w:tcPr>
            <w:tcW w:w="810" w:type="dxa"/>
            <w:vMerge/>
            <w:tcBorders>
              <w:top w:val="nil"/>
              <w:left w:val="nil"/>
              <w:bottom w:val="single" w:sz="4" w:space="0" w:color="000000"/>
              <w:right w:val="nil"/>
            </w:tcBorders>
            <w:vAlign w:val="center"/>
          </w:tcPr>
          <w:p w14:paraId="41F3C248" w14:textId="77777777" w:rsidR="0019717A" w:rsidRPr="00EF1DC1" w:rsidRDefault="0019717A" w:rsidP="0019717A">
            <w:pPr>
              <w:rPr>
                <w:color w:val="000000"/>
                <w:sz w:val="22"/>
                <w:szCs w:val="22"/>
              </w:rPr>
            </w:pPr>
          </w:p>
        </w:tc>
        <w:tc>
          <w:tcPr>
            <w:tcW w:w="810" w:type="dxa"/>
            <w:tcBorders>
              <w:top w:val="nil"/>
              <w:left w:val="nil"/>
              <w:right w:val="nil"/>
            </w:tcBorders>
            <w:noWrap/>
            <w:vAlign w:val="bottom"/>
          </w:tcPr>
          <w:p w14:paraId="3F712D5B" w14:textId="0D5B1006" w:rsidR="0019717A" w:rsidRPr="00EF1DC1" w:rsidRDefault="0019717A" w:rsidP="0019717A">
            <w:pPr>
              <w:rPr>
                <w:color w:val="000000"/>
                <w:sz w:val="22"/>
                <w:szCs w:val="22"/>
              </w:rPr>
            </w:pPr>
            <w:r w:rsidRPr="00EF1DC1">
              <w:rPr>
                <w:color w:val="000000"/>
                <w:sz w:val="22"/>
                <w:szCs w:val="22"/>
              </w:rPr>
              <w:t>Mg/Ca</w:t>
            </w:r>
          </w:p>
        </w:tc>
        <w:tc>
          <w:tcPr>
            <w:tcW w:w="1350" w:type="dxa"/>
            <w:tcBorders>
              <w:top w:val="nil"/>
              <w:left w:val="single" w:sz="4" w:space="0" w:color="auto"/>
              <w:right w:val="nil"/>
            </w:tcBorders>
            <w:noWrap/>
            <w:vAlign w:val="bottom"/>
          </w:tcPr>
          <w:p w14:paraId="73E5D6CB" w14:textId="0DE6C409" w:rsidR="0019717A" w:rsidRPr="00EF1DC1" w:rsidRDefault="0019717A" w:rsidP="0019717A">
            <w:pPr>
              <w:jc w:val="center"/>
              <w:rPr>
                <w:b/>
                <w:bCs/>
                <w:color w:val="000000"/>
                <w:sz w:val="22"/>
                <w:szCs w:val="22"/>
              </w:rPr>
            </w:pPr>
            <w:r w:rsidRPr="00EF1DC1">
              <w:rPr>
                <w:b/>
                <w:bCs/>
                <w:color w:val="000000"/>
                <w:sz w:val="22"/>
                <w:szCs w:val="22"/>
              </w:rPr>
              <w:t>0.34</w:t>
            </w:r>
          </w:p>
        </w:tc>
        <w:tc>
          <w:tcPr>
            <w:tcW w:w="1080" w:type="dxa"/>
            <w:tcBorders>
              <w:top w:val="nil"/>
              <w:left w:val="nil"/>
              <w:right w:val="single" w:sz="4" w:space="0" w:color="auto"/>
            </w:tcBorders>
            <w:noWrap/>
            <w:vAlign w:val="bottom"/>
          </w:tcPr>
          <w:p w14:paraId="536E28AC" w14:textId="68FB37D4" w:rsidR="0019717A" w:rsidRPr="00EF1DC1" w:rsidRDefault="0019717A" w:rsidP="0019717A">
            <w:pPr>
              <w:jc w:val="center"/>
              <w:rPr>
                <w:b/>
                <w:bCs/>
                <w:color w:val="000000"/>
                <w:sz w:val="22"/>
                <w:szCs w:val="22"/>
              </w:rPr>
            </w:pPr>
            <w:r w:rsidRPr="00EF1DC1">
              <w:rPr>
                <w:b/>
                <w:bCs/>
                <w:color w:val="000000"/>
                <w:sz w:val="22"/>
                <w:szCs w:val="22"/>
              </w:rPr>
              <w:t>0.04</w:t>
            </w:r>
          </w:p>
        </w:tc>
        <w:tc>
          <w:tcPr>
            <w:tcW w:w="1440" w:type="dxa"/>
            <w:tcBorders>
              <w:top w:val="nil"/>
              <w:left w:val="nil"/>
              <w:right w:val="nil"/>
            </w:tcBorders>
            <w:noWrap/>
            <w:vAlign w:val="bottom"/>
          </w:tcPr>
          <w:p w14:paraId="441B4326" w14:textId="4F404081" w:rsidR="0019717A" w:rsidRPr="00EF1DC1" w:rsidRDefault="0019717A" w:rsidP="0019717A">
            <w:pPr>
              <w:jc w:val="center"/>
              <w:rPr>
                <w:b/>
                <w:bCs/>
                <w:color w:val="000000"/>
                <w:sz w:val="22"/>
                <w:szCs w:val="22"/>
              </w:rPr>
            </w:pPr>
            <w:r w:rsidRPr="00EF1DC1">
              <w:rPr>
                <w:b/>
                <w:bCs/>
                <w:color w:val="000000"/>
                <w:sz w:val="22"/>
                <w:szCs w:val="22"/>
              </w:rPr>
              <w:t>-0.</w:t>
            </w:r>
            <w:r w:rsidR="006344DD" w:rsidRPr="00EF1DC1">
              <w:rPr>
                <w:b/>
                <w:bCs/>
                <w:color w:val="000000"/>
                <w:sz w:val="22"/>
                <w:szCs w:val="22"/>
              </w:rPr>
              <w:t>55</w:t>
            </w:r>
          </w:p>
        </w:tc>
        <w:tc>
          <w:tcPr>
            <w:tcW w:w="1080" w:type="dxa"/>
            <w:tcBorders>
              <w:top w:val="nil"/>
              <w:left w:val="nil"/>
              <w:right w:val="single" w:sz="4" w:space="0" w:color="auto"/>
            </w:tcBorders>
            <w:noWrap/>
            <w:vAlign w:val="bottom"/>
          </w:tcPr>
          <w:p w14:paraId="64EBDB86" w14:textId="568E3233" w:rsidR="0019717A" w:rsidRPr="00EF1DC1" w:rsidRDefault="00FE7507" w:rsidP="0019717A">
            <w:pPr>
              <w:jc w:val="center"/>
              <w:rPr>
                <w:b/>
                <w:bCs/>
                <w:color w:val="000000"/>
                <w:sz w:val="22"/>
                <w:szCs w:val="22"/>
              </w:rPr>
            </w:pPr>
            <w:r w:rsidRPr="00EF1DC1">
              <w:rPr>
                <w:b/>
                <w:bCs/>
                <w:color w:val="000000"/>
                <w:sz w:val="22"/>
                <w:szCs w:val="22"/>
              </w:rPr>
              <w:t>&lt;0.01</w:t>
            </w:r>
          </w:p>
        </w:tc>
        <w:tc>
          <w:tcPr>
            <w:tcW w:w="1534" w:type="dxa"/>
            <w:tcBorders>
              <w:top w:val="nil"/>
              <w:left w:val="nil"/>
              <w:right w:val="nil"/>
            </w:tcBorders>
            <w:noWrap/>
            <w:vAlign w:val="bottom"/>
          </w:tcPr>
          <w:p w14:paraId="475191E6" w14:textId="3AF40AA3" w:rsidR="0019717A" w:rsidRPr="00EF1DC1" w:rsidRDefault="0019717A" w:rsidP="0019717A">
            <w:pPr>
              <w:jc w:val="center"/>
              <w:rPr>
                <w:b/>
                <w:bCs/>
                <w:color w:val="000000"/>
                <w:sz w:val="22"/>
                <w:szCs w:val="22"/>
              </w:rPr>
            </w:pPr>
            <w:r w:rsidRPr="00EF1DC1">
              <w:rPr>
                <w:b/>
                <w:bCs/>
                <w:color w:val="000000"/>
                <w:sz w:val="22"/>
                <w:szCs w:val="22"/>
              </w:rPr>
              <w:t>-0.62</w:t>
            </w:r>
          </w:p>
        </w:tc>
        <w:tc>
          <w:tcPr>
            <w:tcW w:w="1037" w:type="dxa"/>
            <w:tcBorders>
              <w:top w:val="nil"/>
              <w:left w:val="nil"/>
              <w:right w:val="single" w:sz="4" w:space="0" w:color="auto"/>
            </w:tcBorders>
            <w:noWrap/>
            <w:vAlign w:val="bottom"/>
          </w:tcPr>
          <w:p w14:paraId="1F5705D0" w14:textId="3F48F305" w:rsidR="0019717A" w:rsidRPr="00EF1DC1" w:rsidRDefault="0019717A" w:rsidP="0019717A">
            <w:pPr>
              <w:jc w:val="center"/>
              <w:rPr>
                <w:b/>
                <w:bCs/>
                <w:color w:val="000000"/>
                <w:sz w:val="22"/>
                <w:szCs w:val="22"/>
              </w:rPr>
            </w:pPr>
            <w:r w:rsidRPr="00EF1DC1">
              <w:rPr>
                <w:b/>
                <w:bCs/>
                <w:color w:val="000000"/>
                <w:sz w:val="22"/>
                <w:szCs w:val="22"/>
              </w:rPr>
              <w:t>0.01</w:t>
            </w:r>
          </w:p>
        </w:tc>
      </w:tr>
      <w:tr w:rsidR="0019717A" w:rsidRPr="00EF1DC1" w14:paraId="261AC6FB" w14:textId="77777777" w:rsidTr="0019717A">
        <w:trPr>
          <w:trHeight w:val="320"/>
        </w:trPr>
        <w:tc>
          <w:tcPr>
            <w:tcW w:w="810" w:type="dxa"/>
            <w:vMerge/>
            <w:tcBorders>
              <w:top w:val="nil"/>
              <w:left w:val="nil"/>
              <w:bottom w:val="single" w:sz="4" w:space="0" w:color="000000"/>
              <w:right w:val="nil"/>
            </w:tcBorders>
            <w:vAlign w:val="center"/>
            <w:hideMark/>
          </w:tcPr>
          <w:p w14:paraId="3A94C4EB" w14:textId="77777777" w:rsidR="0019717A" w:rsidRPr="00EF1DC1" w:rsidRDefault="0019717A" w:rsidP="0019717A">
            <w:pPr>
              <w:rPr>
                <w:color w:val="000000"/>
                <w:sz w:val="22"/>
                <w:szCs w:val="22"/>
              </w:rPr>
            </w:pPr>
          </w:p>
        </w:tc>
        <w:tc>
          <w:tcPr>
            <w:tcW w:w="810" w:type="dxa"/>
            <w:tcBorders>
              <w:left w:val="nil"/>
              <w:bottom w:val="single" w:sz="4" w:space="0" w:color="auto"/>
              <w:right w:val="nil"/>
            </w:tcBorders>
            <w:noWrap/>
            <w:vAlign w:val="bottom"/>
            <w:hideMark/>
          </w:tcPr>
          <w:p w14:paraId="78534369" w14:textId="515BB601" w:rsidR="0019717A" w:rsidRPr="00EF1DC1" w:rsidRDefault="0019717A" w:rsidP="0019717A">
            <w:pPr>
              <w:rPr>
                <w:color w:val="000000"/>
                <w:sz w:val="22"/>
                <w:szCs w:val="22"/>
              </w:rPr>
            </w:pPr>
            <w:r w:rsidRPr="00EF1DC1">
              <w:rPr>
                <w:color w:val="000000"/>
                <w:sz w:val="22"/>
                <w:szCs w:val="22"/>
              </w:rPr>
              <w:t>Mn/Sr</w:t>
            </w:r>
          </w:p>
        </w:tc>
        <w:tc>
          <w:tcPr>
            <w:tcW w:w="1350" w:type="dxa"/>
            <w:tcBorders>
              <w:left w:val="single" w:sz="4" w:space="0" w:color="auto"/>
              <w:bottom w:val="single" w:sz="4" w:space="0" w:color="auto"/>
              <w:right w:val="nil"/>
            </w:tcBorders>
            <w:noWrap/>
            <w:vAlign w:val="bottom"/>
            <w:hideMark/>
          </w:tcPr>
          <w:p w14:paraId="2D4DFD65" w14:textId="367DBA71" w:rsidR="0019717A" w:rsidRPr="00EF1DC1" w:rsidRDefault="0019717A" w:rsidP="0019717A">
            <w:pPr>
              <w:jc w:val="center"/>
              <w:rPr>
                <w:color w:val="000000"/>
                <w:sz w:val="22"/>
                <w:szCs w:val="22"/>
              </w:rPr>
            </w:pPr>
            <w:r w:rsidRPr="00EF1DC1">
              <w:rPr>
                <w:color w:val="000000"/>
                <w:sz w:val="22"/>
                <w:szCs w:val="22"/>
              </w:rPr>
              <w:t>-0.01</w:t>
            </w:r>
          </w:p>
        </w:tc>
        <w:tc>
          <w:tcPr>
            <w:tcW w:w="1080" w:type="dxa"/>
            <w:tcBorders>
              <w:left w:val="nil"/>
              <w:bottom w:val="single" w:sz="4" w:space="0" w:color="auto"/>
              <w:right w:val="single" w:sz="4" w:space="0" w:color="auto"/>
            </w:tcBorders>
            <w:noWrap/>
            <w:vAlign w:val="bottom"/>
            <w:hideMark/>
          </w:tcPr>
          <w:p w14:paraId="23FED4E6" w14:textId="2D8EBC8D" w:rsidR="0019717A" w:rsidRPr="00EF1DC1" w:rsidRDefault="0019717A" w:rsidP="0019717A">
            <w:pPr>
              <w:jc w:val="center"/>
              <w:rPr>
                <w:color w:val="000000"/>
                <w:sz w:val="22"/>
                <w:szCs w:val="22"/>
              </w:rPr>
            </w:pPr>
            <w:r w:rsidRPr="00EF1DC1">
              <w:rPr>
                <w:color w:val="000000"/>
                <w:sz w:val="22"/>
                <w:szCs w:val="22"/>
              </w:rPr>
              <w:t>0.99</w:t>
            </w:r>
          </w:p>
        </w:tc>
        <w:tc>
          <w:tcPr>
            <w:tcW w:w="1440" w:type="dxa"/>
            <w:tcBorders>
              <w:left w:val="nil"/>
              <w:bottom w:val="single" w:sz="4" w:space="0" w:color="auto"/>
              <w:right w:val="nil"/>
            </w:tcBorders>
            <w:noWrap/>
            <w:vAlign w:val="bottom"/>
            <w:hideMark/>
          </w:tcPr>
          <w:p w14:paraId="023A40CB" w14:textId="65E872F7" w:rsidR="0019717A" w:rsidRPr="00EF1DC1" w:rsidRDefault="0019717A" w:rsidP="0019717A">
            <w:pPr>
              <w:jc w:val="center"/>
              <w:rPr>
                <w:color w:val="000000"/>
                <w:sz w:val="22"/>
                <w:szCs w:val="22"/>
              </w:rPr>
            </w:pPr>
            <w:r w:rsidRPr="00EF1DC1">
              <w:rPr>
                <w:color w:val="000000"/>
                <w:sz w:val="22"/>
                <w:szCs w:val="22"/>
              </w:rPr>
              <w:t>-0.</w:t>
            </w:r>
            <w:r w:rsidR="006344DD" w:rsidRPr="00EF1DC1">
              <w:rPr>
                <w:color w:val="000000"/>
                <w:sz w:val="22"/>
                <w:szCs w:val="22"/>
              </w:rPr>
              <w:t>29</w:t>
            </w:r>
          </w:p>
        </w:tc>
        <w:tc>
          <w:tcPr>
            <w:tcW w:w="1080" w:type="dxa"/>
            <w:tcBorders>
              <w:left w:val="nil"/>
              <w:bottom w:val="single" w:sz="4" w:space="0" w:color="auto"/>
              <w:right w:val="single" w:sz="4" w:space="0" w:color="auto"/>
            </w:tcBorders>
            <w:noWrap/>
            <w:vAlign w:val="bottom"/>
            <w:hideMark/>
          </w:tcPr>
          <w:p w14:paraId="0FD458EE" w14:textId="7BFD3D42" w:rsidR="0019717A" w:rsidRPr="00EF1DC1" w:rsidRDefault="0019717A" w:rsidP="0019717A">
            <w:pPr>
              <w:jc w:val="center"/>
              <w:rPr>
                <w:color w:val="000000"/>
                <w:sz w:val="22"/>
                <w:szCs w:val="22"/>
              </w:rPr>
            </w:pPr>
            <w:r w:rsidRPr="00EF1DC1">
              <w:rPr>
                <w:color w:val="000000"/>
                <w:sz w:val="22"/>
                <w:szCs w:val="22"/>
              </w:rPr>
              <w:t>0.</w:t>
            </w:r>
            <w:r w:rsidR="006344DD" w:rsidRPr="00EF1DC1">
              <w:rPr>
                <w:color w:val="000000"/>
                <w:sz w:val="22"/>
                <w:szCs w:val="22"/>
              </w:rPr>
              <w:t>15</w:t>
            </w:r>
          </w:p>
        </w:tc>
        <w:tc>
          <w:tcPr>
            <w:tcW w:w="1534" w:type="dxa"/>
            <w:tcBorders>
              <w:left w:val="nil"/>
              <w:bottom w:val="single" w:sz="4" w:space="0" w:color="auto"/>
              <w:right w:val="nil"/>
            </w:tcBorders>
            <w:noWrap/>
            <w:vAlign w:val="bottom"/>
            <w:hideMark/>
          </w:tcPr>
          <w:p w14:paraId="60646A3E" w14:textId="05BA7A6B" w:rsidR="0019717A" w:rsidRPr="00EF1DC1" w:rsidRDefault="0019717A" w:rsidP="0019717A">
            <w:pPr>
              <w:jc w:val="center"/>
              <w:rPr>
                <w:color w:val="000000"/>
                <w:sz w:val="22"/>
                <w:szCs w:val="22"/>
              </w:rPr>
            </w:pPr>
            <w:r w:rsidRPr="00EF1DC1">
              <w:rPr>
                <w:color w:val="000000"/>
                <w:sz w:val="22"/>
                <w:szCs w:val="22"/>
              </w:rPr>
              <w:t>0.13</w:t>
            </w:r>
          </w:p>
        </w:tc>
        <w:tc>
          <w:tcPr>
            <w:tcW w:w="1037" w:type="dxa"/>
            <w:tcBorders>
              <w:left w:val="nil"/>
              <w:bottom w:val="single" w:sz="4" w:space="0" w:color="auto"/>
              <w:right w:val="single" w:sz="4" w:space="0" w:color="auto"/>
            </w:tcBorders>
            <w:noWrap/>
            <w:vAlign w:val="bottom"/>
            <w:hideMark/>
          </w:tcPr>
          <w:p w14:paraId="074CBDD2" w14:textId="7ADCB074" w:rsidR="0019717A" w:rsidRPr="00EF1DC1" w:rsidRDefault="0019717A" w:rsidP="0019717A">
            <w:pPr>
              <w:jc w:val="center"/>
              <w:rPr>
                <w:color w:val="000000"/>
                <w:sz w:val="22"/>
                <w:szCs w:val="22"/>
              </w:rPr>
            </w:pPr>
            <w:r w:rsidRPr="00EF1DC1">
              <w:rPr>
                <w:color w:val="000000"/>
                <w:sz w:val="22"/>
                <w:szCs w:val="22"/>
              </w:rPr>
              <w:t>0.58</w:t>
            </w:r>
          </w:p>
        </w:tc>
      </w:tr>
      <w:tr w:rsidR="0019717A" w:rsidRPr="00EF1DC1" w14:paraId="481540EE" w14:textId="77777777">
        <w:trPr>
          <w:trHeight w:val="320"/>
        </w:trPr>
        <w:tc>
          <w:tcPr>
            <w:tcW w:w="810" w:type="dxa"/>
            <w:vMerge w:val="restart"/>
            <w:tcBorders>
              <w:top w:val="nil"/>
              <w:left w:val="nil"/>
              <w:bottom w:val="single" w:sz="4" w:space="0" w:color="000000"/>
              <w:right w:val="nil"/>
            </w:tcBorders>
            <w:noWrap/>
            <w:hideMark/>
          </w:tcPr>
          <w:p w14:paraId="6C504CAB" w14:textId="77777777" w:rsidR="0019717A" w:rsidRPr="00EF1DC1" w:rsidRDefault="0019717A" w:rsidP="0019717A">
            <w:pPr>
              <w:jc w:val="center"/>
              <w:rPr>
                <w:color w:val="000000"/>
                <w:sz w:val="22"/>
                <w:szCs w:val="22"/>
              </w:rPr>
            </w:pPr>
            <w:r w:rsidRPr="00EF1DC1">
              <w:rPr>
                <w:color w:val="000000"/>
                <w:sz w:val="22"/>
                <w:szCs w:val="22"/>
              </w:rPr>
              <w:t>Li/Ca vs</w:t>
            </w:r>
          </w:p>
        </w:tc>
        <w:tc>
          <w:tcPr>
            <w:tcW w:w="810" w:type="dxa"/>
            <w:tcBorders>
              <w:top w:val="nil"/>
              <w:left w:val="nil"/>
              <w:bottom w:val="nil"/>
              <w:right w:val="nil"/>
            </w:tcBorders>
            <w:noWrap/>
            <w:vAlign w:val="bottom"/>
            <w:hideMark/>
          </w:tcPr>
          <w:p w14:paraId="5F9A32E1" w14:textId="77777777" w:rsidR="0019717A" w:rsidRPr="00EF1DC1" w:rsidRDefault="0019717A" w:rsidP="0019717A">
            <w:pPr>
              <w:rPr>
                <w:color w:val="000000"/>
                <w:sz w:val="22"/>
                <w:szCs w:val="22"/>
              </w:rPr>
            </w:pPr>
            <w:r w:rsidRPr="00EF1DC1">
              <w:rPr>
                <w:color w:val="000000"/>
                <w:sz w:val="22"/>
                <w:szCs w:val="22"/>
              </w:rPr>
              <w:t>Al/Ca</w:t>
            </w:r>
          </w:p>
        </w:tc>
        <w:tc>
          <w:tcPr>
            <w:tcW w:w="1350" w:type="dxa"/>
            <w:tcBorders>
              <w:top w:val="nil"/>
              <w:left w:val="single" w:sz="4" w:space="0" w:color="auto"/>
              <w:bottom w:val="nil"/>
              <w:right w:val="nil"/>
            </w:tcBorders>
            <w:noWrap/>
            <w:vAlign w:val="bottom"/>
            <w:hideMark/>
          </w:tcPr>
          <w:p w14:paraId="399EDE32" w14:textId="77777777" w:rsidR="0019717A" w:rsidRPr="00EF1DC1" w:rsidRDefault="0019717A" w:rsidP="0019717A">
            <w:pPr>
              <w:jc w:val="center"/>
              <w:rPr>
                <w:b/>
                <w:bCs/>
                <w:color w:val="000000"/>
                <w:sz w:val="22"/>
                <w:szCs w:val="22"/>
              </w:rPr>
            </w:pPr>
            <w:r w:rsidRPr="00EF1DC1">
              <w:rPr>
                <w:b/>
                <w:bCs/>
                <w:color w:val="000000"/>
                <w:sz w:val="22"/>
                <w:szCs w:val="22"/>
              </w:rPr>
              <w:t>0.64</w:t>
            </w:r>
          </w:p>
        </w:tc>
        <w:tc>
          <w:tcPr>
            <w:tcW w:w="1080" w:type="dxa"/>
            <w:tcBorders>
              <w:top w:val="nil"/>
              <w:left w:val="nil"/>
              <w:bottom w:val="nil"/>
              <w:right w:val="single" w:sz="4" w:space="0" w:color="auto"/>
            </w:tcBorders>
            <w:noWrap/>
            <w:vAlign w:val="bottom"/>
            <w:hideMark/>
          </w:tcPr>
          <w:p w14:paraId="1EBEF2B1" w14:textId="77777777" w:rsidR="0019717A" w:rsidRPr="00EF1DC1" w:rsidRDefault="0019717A" w:rsidP="0019717A">
            <w:pPr>
              <w:jc w:val="center"/>
              <w:rPr>
                <w:b/>
                <w:bCs/>
                <w:color w:val="000000"/>
                <w:sz w:val="22"/>
                <w:szCs w:val="22"/>
              </w:rPr>
            </w:pPr>
            <w:r w:rsidRPr="00EF1DC1">
              <w:rPr>
                <w:b/>
                <w:bCs/>
                <w:color w:val="000000"/>
                <w:sz w:val="22"/>
                <w:szCs w:val="22"/>
              </w:rPr>
              <w:t>&lt;0.001</w:t>
            </w:r>
          </w:p>
        </w:tc>
        <w:tc>
          <w:tcPr>
            <w:tcW w:w="1440" w:type="dxa"/>
            <w:tcBorders>
              <w:top w:val="nil"/>
              <w:left w:val="nil"/>
              <w:bottom w:val="nil"/>
              <w:right w:val="nil"/>
            </w:tcBorders>
            <w:noWrap/>
            <w:vAlign w:val="bottom"/>
            <w:hideMark/>
          </w:tcPr>
          <w:p w14:paraId="1E713191" w14:textId="77777777" w:rsidR="0019717A" w:rsidRPr="00EF1DC1" w:rsidRDefault="0019717A" w:rsidP="0019717A">
            <w:pPr>
              <w:jc w:val="center"/>
              <w:rPr>
                <w:b/>
                <w:bCs/>
                <w:color w:val="000000"/>
                <w:sz w:val="22"/>
                <w:szCs w:val="22"/>
              </w:rPr>
            </w:pPr>
            <w:r w:rsidRPr="00EF1DC1">
              <w:rPr>
                <w:b/>
                <w:bCs/>
                <w:color w:val="000000"/>
                <w:sz w:val="22"/>
                <w:szCs w:val="22"/>
              </w:rPr>
              <w:t>0.57</w:t>
            </w:r>
          </w:p>
        </w:tc>
        <w:tc>
          <w:tcPr>
            <w:tcW w:w="1080" w:type="dxa"/>
            <w:tcBorders>
              <w:top w:val="nil"/>
              <w:left w:val="nil"/>
              <w:bottom w:val="nil"/>
              <w:right w:val="single" w:sz="4" w:space="0" w:color="auto"/>
            </w:tcBorders>
            <w:noWrap/>
            <w:vAlign w:val="bottom"/>
            <w:hideMark/>
          </w:tcPr>
          <w:p w14:paraId="7787432A" w14:textId="77777777" w:rsidR="0019717A" w:rsidRPr="00EF1DC1" w:rsidRDefault="0019717A" w:rsidP="0019717A">
            <w:pPr>
              <w:jc w:val="center"/>
              <w:rPr>
                <w:b/>
                <w:bCs/>
                <w:color w:val="000000"/>
                <w:sz w:val="22"/>
                <w:szCs w:val="22"/>
              </w:rPr>
            </w:pPr>
            <w:r w:rsidRPr="00EF1DC1">
              <w:rPr>
                <w:b/>
                <w:bCs/>
                <w:color w:val="000000"/>
                <w:sz w:val="22"/>
                <w:szCs w:val="22"/>
              </w:rPr>
              <w:t>&lt;0.01</w:t>
            </w:r>
          </w:p>
        </w:tc>
        <w:tc>
          <w:tcPr>
            <w:tcW w:w="1534" w:type="dxa"/>
            <w:tcBorders>
              <w:top w:val="nil"/>
              <w:left w:val="nil"/>
              <w:bottom w:val="nil"/>
              <w:right w:val="nil"/>
            </w:tcBorders>
            <w:noWrap/>
            <w:vAlign w:val="bottom"/>
            <w:hideMark/>
          </w:tcPr>
          <w:p w14:paraId="1B28AB01" w14:textId="77777777" w:rsidR="0019717A" w:rsidRPr="00EF1DC1" w:rsidRDefault="0019717A" w:rsidP="0019717A">
            <w:pPr>
              <w:jc w:val="center"/>
              <w:rPr>
                <w:color w:val="000000"/>
                <w:sz w:val="22"/>
                <w:szCs w:val="22"/>
              </w:rPr>
            </w:pPr>
            <w:r w:rsidRPr="00EF1DC1">
              <w:rPr>
                <w:color w:val="000000"/>
                <w:sz w:val="22"/>
                <w:szCs w:val="22"/>
              </w:rPr>
              <w:t>0.24</w:t>
            </w:r>
          </w:p>
        </w:tc>
        <w:tc>
          <w:tcPr>
            <w:tcW w:w="1037" w:type="dxa"/>
            <w:tcBorders>
              <w:top w:val="nil"/>
              <w:left w:val="nil"/>
              <w:bottom w:val="nil"/>
              <w:right w:val="single" w:sz="4" w:space="0" w:color="auto"/>
            </w:tcBorders>
            <w:noWrap/>
            <w:vAlign w:val="bottom"/>
            <w:hideMark/>
          </w:tcPr>
          <w:p w14:paraId="02350BE0" w14:textId="77777777" w:rsidR="0019717A" w:rsidRPr="00EF1DC1" w:rsidRDefault="0019717A" w:rsidP="0019717A">
            <w:pPr>
              <w:jc w:val="center"/>
              <w:rPr>
                <w:color w:val="000000"/>
                <w:sz w:val="22"/>
                <w:szCs w:val="22"/>
              </w:rPr>
            </w:pPr>
            <w:r w:rsidRPr="00EF1DC1">
              <w:rPr>
                <w:color w:val="000000"/>
                <w:sz w:val="22"/>
                <w:szCs w:val="22"/>
              </w:rPr>
              <w:t>0.32</w:t>
            </w:r>
          </w:p>
        </w:tc>
      </w:tr>
      <w:tr w:rsidR="0019717A" w:rsidRPr="00EF1DC1" w14:paraId="55910D60" w14:textId="77777777">
        <w:trPr>
          <w:trHeight w:val="320"/>
        </w:trPr>
        <w:tc>
          <w:tcPr>
            <w:tcW w:w="810" w:type="dxa"/>
            <w:vMerge/>
            <w:tcBorders>
              <w:top w:val="nil"/>
              <w:left w:val="nil"/>
              <w:bottom w:val="single" w:sz="4" w:space="0" w:color="000000"/>
              <w:right w:val="nil"/>
            </w:tcBorders>
            <w:vAlign w:val="center"/>
            <w:hideMark/>
          </w:tcPr>
          <w:p w14:paraId="7268B8E9" w14:textId="77777777" w:rsidR="0019717A" w:rsidRPr="00EF1DC1" w:rsidRDefault="0019717A" w:rsidP="0019717A">
            <w:pPr>
              <w:rPr>
                <w:color w:val="000000"/>
                <w:sz w:val="22"/>
                <w:szCs w:val="22"/>
              </w:rPr>
            </w:pPr>
          </w:p>
        </w:tc>
        <w:tc>
          <w:tcPr>
            <w:tcW w:w="810" w:type="dxa"/>
            <w:tcBorders>
              <w:top w:val="nil"/>
              <w:left w:val="nil"/>
              <w:bottom w:val="nil"/>
              <w:right w:val="nil"/>
            </w:tcBorders>
            <w:noWrap/>
            <w:vAlign w:val="bottom"/>
            <w:hideMark/>
          </w:tcPr>
          <w:p w14:paraId="368ABA4E" w14:textId="77777777" w:rsidR="0019717A" w:rsidRPr="00EF1DC1" w:rsidRDefault="0019717A" w:rsidP="0019717A">
            <w:pPr>
              <w:rPr>
                <w:color w:val="000000"/>
                <w:sz w:val="22"/>
                <w:szCs w:val="22"/>
              </w:rPr>
            </w:pPr>
            <w:r w:rsidRPr="00EF1DC1">
              <w:rPr>
                <w:color w:val="000000"/>
                <w:sz w:val="22"/>
                <w:szCs w:val="22"/>
              </w:rPr>
              <w:t>Sr/Ca</w:t>
            </w:r>
          </w:p>
        </w:tc>
        <w:tc>
          <w:tcPr>
            <w:tcW w:w="1350" w:type="dxa"/>
            <w:tcBorders>
              <w:top w:val="nil"/>
              <w:left w:val="single" w:sz="4" w:space="0" w:color="auto"/>
              <w:bottom w:val="nil"/>
              <w:right w:val="nil"/>
            </w:tcBorders>
            <w:noWrap/>
            <w:vAlign w:val="bottom"/>
            <w:hideMark/>
          </w:tcPr>
          <w:p w14:paraId="031A1F53" w14:textId="77777777" w:rsidR="0019717A" w:rsidRPr="00EF1DC1" w:rsidRDefault="0019717A" w:rsidP="0019717A">
            <w:pPr>
              <w:jc w:val="center"/>
              <w:rPr>
                <w:color w:val="000000"/>
                <w:sz w:val="22"/>
                <w:szCs w:val="22"/>
              </w:rPr>
            </w:pPr>
            <w:r w:rsidRPr="00EF1DC1">
              <w:rPr>
                <w:color w:val="000000"/>
                <w:sz w:val="22"/>
                <w:szCs w:val="22"/>
              </w:rPr>
              <w:t>-0.16</w:t>
            </w:r>
          </w:p>
        </w:tc>
        <w:tc>
          <w:tcPr>
            <w:tcW w:w="1080" w:type="dxa"/>
            <w:tcBorders>
              <w:top w:val="nil"/>
              <w:left w:val="nil"/>
              <w:bottom w:val="nil"/>
              <w:right w:val="single" w:sz="4" w:space="0" w:color="auto"/>
            </w:tcBorders>
            <w:noWrap/>
            <w:vAlign w:val="bottom"/>
            <w:hideMark/>
          </w:tcPr>
          <w:p w14:paraId="1C307697" w14:textId="77777777" w:rsidR="0019717A" w:rsidRPr="00EF1DC1" w:rsidRDefault="0019717A" w:rsidP="0019717A">
            <w:pPr>
              <w:jc w:val="center"/>
              <w:rPr>
                <w:color w:val="000000"/>
                <w:sz w:val="22"/>
                <w:szCs w:val="22"/>
              </w:rPr>
            </w:pPr>
            <w:r w:rsidRPr="00EF1DC1">
              <w:rPr>
                <w:color w:val="000000"/>
                <w:sz w:val="22"/>
                <w:szCs w:val="22"/>
              </w:rPr>
              <w:t>0.36</w:t>
            </w:r>
          </w:p>
        </w:tc>
        <w:tc>
          <w:tcPr>
            <w:tcW w:w="1440" w:type="dxa"/>
            <w:tcBorders>
              <w:top w:val="nil"/>
              <w:left w:val="nil"/>
              <w:bottom w:val="nil"/>
              <w:right w:val="nil"/>
            </w:tcBorders>
            <w:noWrap/>
            <w:vAlign w:val="bottom"/>
            <w:hideMark/>
          </w:tcPr>
          <w:p w14:paraId="0A42449F" w14:textId="77777777" w:rsidR="0019717A" w:rsidRPr="00EF1DC1" w:rsidRDefault="0019717A" w:rsidP="0019717A">
            <w:pPr>
              <w:jc w:val="center"/>
              <w:rPr>
                <w:color w:val="000000"/>
                <w:sz w:val="22"/>
                <w:szCs w:val="22"/>
              </w:rPr>
            </w:pPr>
            <w:r w:rsidRPr="00EF1DC1">
              <w:rPr>
                <w:color w:val="000000"/>
                <w:sz w:val="22"/>
                <w:szCs w:val="22"/>
              </w:rPr>
              <w:t>0.26</w:t>
            </w:r>
          </w:p>
        </w:tc>
        <w:tc>
          <w:tcPr>
            <w:tcW w:w="1080" w:type="dxa"/>
            <w:tcBorders>
              <w:top w:val="nil"/>
              <w:left w:val="nil"/>
              <w:bottom w:val="nil"/>
              <w:right w:val="single" w:sz="4" w:space="0" w:color="auto"/>
            </w:tcBorders>
            <w:noWrap/>
            <w:vAlign w:val="bottom"/>
            <w:hideMark/>
          </w:tcPr>
          <w:p w14:paraId="2B4F3000" w14:textId="77777777" w:rsidR="0019717A" w:rsidRPr="00EF1DC1" w:rsidRDefault="0019717A" w:rsidP="0019717A">
            <w:pPr>
              <w:jc w:val="center"/>
              <w:rPr>
                <w:color w:val="000000"/>
                <w:sz w:val="22"/>
                <w:szCs w:val="22"/>
              </w:rPr>
            </w:pPr>
            <w:r w:rsidRPr="00EF1DC1">
              <w:rPr>
                <w:color w:val="000000"/>
                <w:sz w:val="22"/>
                <w:szCs w:val="22"/>
              </w:rPr>
              <w:t>0.17</w:t>
            </w:r>
          </w:p>
        </w:tc>
        <w:tc>
          <w:tcPr>
            <w:tcW w:w="1534" w:type="dxa"/>
            <w:tcBorders>
              <w:top w:val="nil"/>
              <w:left w:val="nil"/>
              <w:bottom w:val="nil"/>
              <w:right w:val="nil"/>
            </w:tcBorders>
            <w:noWrap/>
            <w:vAlign w:val="bottom"/>
            <w:hideMark/>
          </w:tcPr>
          <w:p w14:paraId="17F1383C" w14:textId="77777777" w:rsidR="0019717A" w:rsidRPr="00EF1DC1" w:rsidRDefault="0019717A" w:rsidP="0019717A">
            <w:pPr>
              <w:jc w:val="center"/>
              <w:rPr>
                <w:color w:val="000000"/>
                <w:sz w:val="22"/>
                <w:szCs w:val="22"/>
              </w:rPr>
            </w:pPr>
            <w:r w:rsidRPr="00EF1DC1">
              <w:rPr>
                <w:color w:val="000000"/>
                <w:sz w:val="22"/>
                <w:szCs w:val="22"/>
              </w:rPr>
              <w:t>0.38</w:t>
            </w:r>
          </w:p>
        </w:tc>
        <w:tc>
          <w:tcPr>
            <w:tcW w:w="1037" w:type="dxa"/>
            <w:tcBorders>
              <w:top w:val="nil"/>
              <w:left w:val="nil"/>
              <w:bottom w:val="nil"/>
              <w:right w:val="single" w:sz="4" w:space="0" w:color="auto"/>
            </w:tcBorders>
            <w:noWrap/>
            <w:vAlign w:val="bottom"/>
            <w:hideMark/>
          </w:tcPr>
          <w:p w14:paraId="1C070D2C" w14:textId="77777777" w:rsidR="0019717A" w:rsidRPr="00EF1DC1" w:rsidRDefault="0019717A" w:rsidP="0019717A">
            <w:pPr>
              <w:jc w:val="center"/>
              <w:rPr>
                <w:color w:val="000000"/>
                <w:sz w:val="22"/>
                <w:szCs w:val="22"/>
              </w:rPr>
            </w:pPr>
            <w:r w:rsidRPr="00EF1DC1">
              <w:rPr>
                <w:color w:val="000000"/>
                <w:sz w:val="22"/>
                <w:szCs w:val="22"/>
              </w:rPr>
              <w:t>0.11</w:t>
            </w:r>
          </w:p>
        </w:tc>
      </w:tr>
      <w:tr w:rsidR="0019717A" w:rsidRPr="00EF1DC1" w14:paraId="53B7E1C6" w14:textId="77777777" w:rsidTr="0019717A">
        <w:trPr>
          <w:trHeight w:val="320"/>
        </w:trPr>
        <w:tc>
          <w:tcPr>
            <w:tcW w:w="810" w:type="dxa"/>
            <w:vMerge/>
            <w:tcBorders>
              <w:top w:val="nil"/>
              <w:left w:val="nil"/>
              <w:bottom w:val="nil"/>
              <w:right w:val="nil"/>
            </w:tcBorders>
            <w:vAlign w:val="center"/>
            <w:hideMark/>
          </w:tcPr>
          <w:p w14:paraId="38BB0526" w14:textId="77777777" w:rsidR="0019717A" w:rsidRPr="00EF1DC1" w:rsidRDefault="0019717A" w:rsidP="0019717A">
            <w:pPr>
              <w:rPr>
                <w:color w:val="000000"/>
                <w:sz w:val="22"/>
                <w:szCs w:val="22"/>
              </w:rPr>
            </w:pPr>
          </w:p>
        </w:tc>
        <w:tc>
          <w:tcPr>
            <w:tcW w:w="810" w:type="dxa"/>
            <w:tcBorders>
              <w:top w:val="nil"/>
              <w:left w:val="nil"/>
              <w:bottom w:val="nil"/>
              <w:right w:val="nil"/>
            </w:tcBorders>
            <w:noWrap/>
            <w:vAlign w:val="bottom"/>
            <w:hideMark/>
          </w:tcPr>
          <w:p w14:paraId="79C16482" w14:textId="77777777" w:rsidR="0019717A" w:rsidRPr="00EF1DC1" w:rsidRDefault="0019717A" w:rsidP="0019717A">
            <w:pPr>
              <w:rPr>
                <w:color w:val="000000"/>
                <w:sz w:val="22"/>
                <w:szCs w:val="22"/>
              </w:rPr>
            </w:pPr>
            <w:r w:rsidRPr="00EF1DC1">
              <w:rPr>
                <w:color w:val="000000"/>
                <w:sz w:val="22"/>
                <w:szCs w:val="22"/>
              </w:rPr>
              <w:t>Mg/Ca</w:t>
            </w:r>
          </w:p>
        </w:tc>
        <w:tc>
          <w:tcPr>
            <w:tcW w:w="1350" w:type="dxa"/>
            <w:tcBorders>
              <w:top w:val="nil"/>
              <w:left w:val="single" w:sz="4" w:space="0" w:color="auto"/>
              <w:bottom w:val="nil"/>
              <w:right w:val="nil"/>
            </w:tcBorders>
            <w:noWrap/>
            <w:vAlign w:val="bottom"/>
            <w:hideMark/>
          </w:tcPr>
          <w:p w14:paraId="0B39CA0A" w14:textId="77777777" w:rsidR="0019717A" w:rsidRPr="00EF1DC1" w:rsidRDefault="0019717A" w:rsidP="0019717A">
            <w:pPr>
              <w:jc w:val="center"/>
              <w:rPr>
                <w:b/>
                <w:bCs/>
                <w:color w:val="000000"/>
                <w:sz w:val="22"/>
                <w:szCs w:val="22"/>
              </w:rPr>
            </w:pPr>
            <w:r w:rsidRPr="00EF1DC1">
              <w:rPr>
                <w:b/>
                <w:bCs/>
                <w:color w:val="000000"/>
                <w:sz w:val="22"/>
                <w:szCs w:val="22"/>
              </w:rPr>
              <w:t>0.48</w:t>
            </w:r>
          </w:p>
        </w:tc>
        <w:tc>
          <w:tcPr>
            <w:tcW w:w="1080" w:type="dxa"/>
            <w:tcBorders>
              <w:top w:val="nil"/>
              <w:left w:val="nil"/>
              <w:bottom w:val="nil"/>
              <w:right w:val="single" w:sz="4" w:space="0" w:color="auto"/>
            </w:tcBorders>
            <w:noWrap/>
            <w:vAlign w:val="bottom"/>
            <w:hideMark/>
          </w:tcPr>
          <w:p w14:paraId="43088A05" w14:textId="77777777" w:rsidR="0019717A" w:rsidRPr="00EF1DC1" w:rsidRDefault="0019717A" w:rsidP="0019717A">
            <w:pPr>
              <w:jc w:val="center"/>
              <w:rPr>
                <w:b/>
                <w:bCs/>
                <w:color w:val="000000"/>
                <w:sz w:val="22"/>
                <w:szCs w:val="22"/>
              </w:rPr>
            </w:pPr>
            <w:r w:rsidRPr="00EF1DC1">
              <w:rPr>
                <w:b/>
                <w:bCs/>
                <w:color w:val="000000"/>
                <w:sz w:val="22"/>
                <w:szCs w:val="22"/>
              </w:rPr>
              <w:t>&lt;0.01</w:t>
            </w:r>
          </w:p>
        </w:tc>
        <w:tc>
          <w:tcPr>
            <w:tcW w:w="1440" w:type="dxa"/>
            <w:tcBorders>
              <w:top w:val="nil"/>
              <w:left w:val="nil"/>
              <w:bottom w:val="nil"/>
              <w:right w:val="nil"/>
            </w:tcBorders>
            <w:noWrap/>
            <w:vAlign w:val="bottom"/>
            <w:hideMark/>
          </w:tcPr>
          <w:p w14:paraId="39A3B7FC" w14:textId="77777777" w:rsidR="0019717A" w:rsidRPr="00EF1DC1" w:rsidRDefault="0019717A" w:rsidP="0019717A">
            <w:pPr>
              <w:jc w:val="center"/>
              <w:rPr>
                <w:b/>
                <w:bCs/>
                <w:color w:val="000000"/>
                <w:sz w:val="22"/>
                <w:szCs w:val="22"/>
              </w:rPr>
            </w:pPr>
            <w:r w:rsidRPr="00EF1DC1">
              <w:rPr>
                <w:b/>
                <w:bCs/>
                <w:color w:val="000000"/>
                <w:sz w:val="22"/>
                <w:szCs w:val="22"/>
              </w:rPr>
              <w:t>0.58</w:t>
            </w:r>
          </w:p>
        </w:tc>
        <w:tc>
          <w:tcPr>
            <w:tcW w:w="1080" w:type="dxa"/>
            <w:tcBorders>
              <w:top w:val="nil"/>
              <w:left w:val="nil"/>
              <w:bottom w:val="nil"/>
              <w:right w:val="single" w:sz="4" w:space="0" w:color="auto"/>
            </w:tcBorders>
            <w:noWrap/>
            <w:vAlign w:val="bottom"/>
            <w:hideMark/>
          </w:tcPr>
          <w:p w14:paraId="58D6140A" w14:textId="77777777" w:rsidR="0019717A" w:rsidRPr="00EF1DC1" w:rsidRDefault="0019717A" w:rsidP="0019717A">
            <w:pPr>
              <w:jc w:val="center"/>
              <w:rPr>
                <w:b/>
                <w:bCs/>
                <w:color w:val="000000"/>
                <w:sz w:val="22"/>
                <w:szCs w:val="22"/>
              </w:rPr>
            </w:pPr>
            <w:r w:rsidRPr="00EF1DC1">
              <w:rPr>
                <w:b/>
                <w:bCs/>
                <w:color w:val="000000"/>
                <w:sz w:val="22"/>
                <w:szCs w:val="22"/>
              </w:rPr>
              <w:t>&lt;0.01</w:t>
            </w:r>
          </w:p>
        </w:tc>
        <w:tc>
          <w:tcPr>
            <w:tcW w:w="1534" w:type="dxa"/>
            <w:tcBorders>
              <w:top w:val="nil"/>
              <w:left w:val="nil"/>
              <w:bottom w:val="nil"/>
              <w:right w:val="nil"/>
            </w:tcBorders>
            <w:noWrap/>
            <w:vAlign w:val="bottom"/>
            <w:hideMark/>
          </w:tcPr>
          <w:p w14:paraId="27CBA724" w14:textId="77777777" w:rsidR="0019717A" w:rsidRPr="00EF1DC1" w:rsidRDefault="0019717A" w:rsidP="0019717A">
            <w:pPr>
              <w:jc w:val="center"/>
              <w:rPr>
                <w:b/>
                <w:bCs/>
                <w:color w:val="000000"/>
                <w:sz w:val="22"/>
                <w:szCs w:val="22"/>
              </w:rPr>
            </w:pPr>
            <w:r w:rsidRPr="00EF1DC1">
              <w:rPr>
                <w:b/>
                <w:bCs/>
                <w:color w:val="000000"/>
                <w:sz w:val="22"/>
                <w:szCs w:val="22"/>
              </w:rPr>
              <w:t>0.71</w:t>
            </w:r>
          </w:p>
        </w:tc>
        <w:tc>
          <w:tcPr>
            <w:tcW w:w="1037" w:type="dxa"/>
            <w:tcBorders>
              <w:top w:val="nil"/>
              <w:left w:val="nil"/>
              <w:bottom w:val="nil"/>
              <w:right w:val="single" w:sz="4" w:space="0" w:color="auto"/>
            </w:tcBorders>
            <w:noWrap/>
            <w:vAlign w:val="bottom"/>
            <w:hideMark/>
          </w:tcPr>
          <w:p w14:paraId="4AD7CBF2" w14:textId="77777777" w:rsidR="0019717A" w:rsidRPr="00EF1DC1" w:rsidRDefault="0019717A" w:rsidP="0019717A">
            <w:pPr>
              <w:jc w:val="center"/>
              <w:rPr>
                <w:b/>
                <w:bCs/>
                <w:color w:val="000000"/>
                <w:sz w:val="22"/>
                <w:szCs w:val="22"/>
              </w:rPr>
            </w:pPr>
            <w:r w:rsidRPr="00EF1DC1">
              <w:rPr>
                <w:b/>
                <w:bCs/>
                <w:color w:val="000000"/>
                <w:sz w:val="22"/>
                <w:szCs w:val="22"/>
              </w:rPr>
              <w:t>&lt;0.01</w:t>
            </w:r>
          </w:p>
        </w:tc>
      </w:tr>
      <w:tr w:rsidR="0019717A" w:rsidRPr="00EF1DC1" w14:paraId="608ED058" w14:textId="77777777">
        <w:trPr>
          <w:trHeight w:val="320"/>
        </w:trPr>
        <w:tc>
          <w:tcPr>
            <w:tcW w:w="810" w:type="dxa"/>
            <w:tcBorders>
              <w:top w:val="nil"/>
              <w:left w:val="nil"/>
              <w:bottom w:val="single" w:sz="4" w:space="0" w:color="000000"/>
              <w:right w:val="nil"/>
            </w:tcBorders>
            <w:vAlign w:val="center"/>
          </w:tcPr>
          <w:p w14:paraId="329EECDF" w14:textId="77777777" w:rsidR="0019717A" w:rsidRPr="00EF1DC1" w:rsidRDefault="0019717A" w:rsidP="0019717A">
            <w:pPr>
              <w:rPr>
                <w:color w:val="000000"/>
                <w:sz w:val="22"/>
                <w:szCs w:val="22"/>
              </w:rPr>
            </w:pPr>
          </w:p>
        </w:tc>
        <w:tc>
          <w:tcPr>
            <w:tcW w:w="810" w:type="dxa"/>
            <w:tcBorders>
              <w:top w:val="nil"/>
              <w:left w:val="nil"/>
              <w:bottom w:val="single" w:sz="4" w:space="0" w:color="auto"/>
              <w:right w:val="nil"/>
            </w:tcBorders>
            <w:noWrap/>
            <w:vAlign w:val="bottom"/>
          </w:tcPr>
          <w:p w14:paraId="15F1F95C" w14:textId="11A6C186" w:rsidR="0019717A" w:rsidRPr="00EF1DC1" w:rsidRDefault="0019717A" w:rsidP="0019717A">
            <w:pPr>
              <w:rPr>
                <w:color w:val="000000"/>
                <w:sz w:val="22"/>
                <w:szCs w:val="22"/>
              </w:rPr>
            </w:pPr>
            <w:r w:rsidRPr="00EF1DC1">
              <w:rPr>
                <w:color w:val="000000"/>
                <w:sz w:val="22"/>
                <w:szCs w:val="22"/>
              </w:rPr>
              <w:t>Mn/Sr</w:t>
            </w:r>
          </w:p>
        </w:tc>
        <w:tc>
          <w:tcPr>
            <w:tcW w:w="1350" w:type="dxa"/>
            <w:tcBorders>
              <w:top w:val="nil"/>
              <w:left w:val="single" w:sz="4" w:space="0" w:color="auto"/>
              <w:bottom w:val="single" w:sz="4" w:space="0" w:color="auto"/>
              <w:right w:val="nil"/>
            </w:tcBorders>
            <w:noWrap/>
            <w:vAlign w:val="bottom"/>
          </w:tcPr>
          <w:p w14:paraId="7EF809CC" w14:textId="72CDAB96" w:rsidR="0019717A" w:rsidRPr="00EF1DC1" w:rsidRDefault="0019717A" w:rsidP="0019717A">
            <w:pPr>
              <w:jc w:val="center"/>
              <w:rPr>
                <w:b/>
                <w:bCs/>
                <w:color w:val="000000"/>
                <w:sz w:val="22"/>
                <w:szCs w:val="22"/>
              </w:rPr>
            </w:pPr>
            <w:r w:rsidRPr="00EF1DC1">
              <w:rPr>
                <w:b/>
                <w:bCs/>
                <w:color w:val="000000"/>
                <w:sz w:val="22"/>
                <w:szCs w:val="22"/>
              </w:rPr>
              <w:t>0.60</w:t>
            </w:r>
          </w:p>
        </w:tc>
        <w:tc>
          <w:tcPr>
            <w:tcW w:w="1080" w:type="dxa"/>
            <w:tcBorders>
              <w:top w:val="nil"/>
              <w:left w:val="nil"/>
              <w:bottom w:val="single" w:sz="4" w:space="0" w:color="auto"/>
              <w:right w:val="single" w:sz="4" w:space="0" w:color="auto"/>
            </w:tcBorders>
            <w:noWrap/>
            <w:vAlign w:val="bottom"/>
          </w:tcPr>
          <w:p w14:paraId="0C9CCCFA" w14:textId="7E55E9B9" w:rsidR="0019717A" w:rsidRPr="00EF1DC1" w:rsidRDefault="0019717A" w:rsidP="0019717A">
            <w:pPr>
              <w:jc w:val="center"/>
              <w:rPr>
                <w:b/>
                <w:bCs/>
                <w:color w:val="000000"/>
                <w:sz w:val="22"/>
                <w:szCs w:val="22"/>
              </w:rPr>
            </w:pPr>
            <w:r w:rsidRPr="00EF1DC1">
              <w:rPr>
                <w:b/>
                <w:bCs/>
                <w:color w:val="000000"/>
                <w:sz w:val="22"/>
                <w:szCs w:val="22"/>
              </w:rPr>
              <w:t>0.04</w:t>
            </w:r>
          </w:p>
        </w:tc>
        <w:tc>
          <w:tcPr>
            <w:tcW w:w="1440" w:type="dxa"/>
            <w:tcBorders>
              <w:top w:val="nil"/>
              <w:left w:val="nil"/>
              <w:bottom w:val="single" w:sz="4" w:space="0" w:color="auto"/>
              <w:right w:val="nil"/>
            </w:tcBorders>
            <w:noWrap/>
            <w:vAlign w:val="bottom"/>
          </w:tcPr>
          <w:p w14:paraId="76703BA7" w14:textId="6C55C64F" w:rsidR="0019717A" w:rsidRPr="00EF1DC1" w:rsidRDefault="0019717A" w:rsidP="0019717A">
            <w:pPr>
              <w:jc w:val="center"/>
              <w:rPr>
                <w:color w:val="000000"/>
                <w:sz w:val="22"/>
                <w:szCs w:val="22"/>
              </w:rPr>
            </w:pPr>
            <w:r w:rsidRPr="00EF1DC1">
              <w:rPr>
                <w:color w:val="000000"/>
                <w:sz w:val="22"/>
                <w:szCs w:val="22"/>
              </w:rPr>
              <w:t>-0.24</w:t>
            </w:r>
          </w:p>
        </w:tc>
        <w:tc>
          <w:tcPr>
            <w:tcW w:w="1080" w:type="dxa"/>
            <w:tcBorders>
              <w:top w:val="nil"/>
              <w:left w:val="nil"/>
              <w:bottom w:val="single" w:sz="4" w:space="0" w:color="auto"/>
              <w:right w:val="single" w:sz="4" w:space="0" w:color="auto"/>
            </w:tcBorders>
            <w:noWrap/>
            <w:vAlign w:val="bottom"/>
          </w:tcPr>
          <w:p w14:paraId="4AAD75A5" w14:textId="248EDBFA" w:rsidR="0019717A" w:rsidRPr="00EF1DC1" w:rsidRDefault="0019717A" w:rsidP="0019717A">
            <w:pPr>
              <w:jc w:val="center"/>
              <w:rPr>
                <w:color w:val="000000"/>
                <w:sz w:val="22"/>
                <w:szCs w:val="22"/>
              </w:rPr>
            </w:pPr>
            <w:r w:rsidRPr="00EF1DC1">
              <w:rPr>
                <w:color w:val="000000"/>
                <w:sz w:val="22"/>
                <w:szCs w:val="22"/>
              </w:rPr>
              <w:t>0.23</w:t>
            </w:r>
          </w:p>
        </w:tc>
        <w:tc>
          <w:tcPr>
            <w:tcW w:w="1534" w:type="dxa"/>
            <w:tcBorders>
              <w:top w:val="nil"/>
              <w:left w:val="nil"/>
              <w:bottom w:val="single" w:sz="4" w:space="0" w:color="auto"/>
              <w:right w:val="nil"/>
            </w:tcBorders>
            <w:noWrap/>
            <w:vAlign w:val="bottom"/>
          </w:tcPr>
          <w:p w14:paraId="7B871E11" w14:textId="52B173A7" w:rsidR="0019717A" w:rsidRPr="00EF1DC1" w:rsidRDefault="0019717A" w:rsidP="0019717A">
            <w:pPr>
              <w:jc w:val="center"/>
              <w:rPr>
                <w:color w:val="000000"/>
                <w:sz w:val="22"/>
                <w:szCs w:val="22"/>
              </w:rPr>
            </w:pPr>
            <w:r w:rsidRPr="00EF1DC1">
              <w:rPr>
                <w:color w:val="000000"/>
                <w:sz w:val="22"/>
                <w:szCs w:val="22"/>
              </w:rPr>
              <w:t>0.24</w:t>
            </w:r>
          </w:p>
        </w:tc>
        <w:tc>
          <w:tcPr>
            <w:tcW w:w="1037" w:type="dxa"/>
            <w:tcBorders>
              <w:top w:val="nil"/>
              <w:left w:val="nil"/>
              <w:bottom w:val="single" w:sz="4" w:space="0" w:color="auto"/>
              <w:right w:val="single" w:sz="4" w:space="0" w:color="auto"/>
            </w:tcBorders>
            <w:noWrap/>
            <w:vAlign w:val="bottom"/>
          </w:tcPr>
          <w:p w14:paraId="09997E4C" w14:textId="1BCC7C21" w:rsidR="0019717A" w:rsidRPr="00EF1DC1" w:rsidRDefault="0019717A" w:rsidP="0019717A">
            <w:pPr>
              <w:jc w:val="center"/>
              <w:rPr>
                <w:color w:val="000000"/>
                <w:sz w:val="22"/>
                <w:szCs w:val="22"/>
              </w:rPr>
            </w:pPr>
            <w:r w:rsidRPr="00EF1DC1">
              <w:rPr>
                <w:color w:val="000000"/>
                <w:sz w:val="22"/>
                <w:szCs w:val="22"/>
              </w:rPr>
              <w:t>0.32</w:t>
            </w:r>
          </w:p>
        </w:tc>
      </w:tr>
    </w:tbl>
    <w:p w14:paraId="31DC9CE7" w14:textId="77777777" w:rsidR="00D911F4" w:rsidRPr="00EF1DC1" w:rsidRDefault="00D911F4" w:rsidP="00E15CF2">
      <w:pPr>
        <w:jc w:val="both"/>
        <w:rPr>
          <w:b/>
          <w:bCs/>
          <w:i/>
          <w:iCs/>
          <w:sz w:val="22"/>
          <w:szCs w:val="22"/>
        </w:rPr>
      </w:pPr>
    </w:p>
    <w:p w14:paraId="70691BAA" w14:textId="77777777" w:rsidR="00D911F4" w:rsidRPr="00EF1DC1" w:rsidRDefault="00D911F4" w:rsidP="00E15CF2">
      <w:pPr>
        <w:jc w:val="both"/>
        <w:rPr>
          <w:b/>
          <w:bCs/>
          <w:i/>
          <w:iCs/>
          <w:sz w:val="22"/>
          <w:szCs w:val="22"/>
        </w:rPr>
      </w:pPr>
    </w:p>
    <w:p w14:paraId="2B3E3DA8" w14:textId="77777777" w:rsidR="00D911F4" w:rsidRDefault="00D911F4" w:rsidP="00E15CF2">
      <w:pPr>
        <w:jc w:val="both"/>
        <w:rPr>
          <w:b/>
          <w:bCs/>
          <w:i/>
          <w:iCs/>
          <w:sz w:val="22"/>
          <w:szCs w:val="22"/>
        </w:rPr>
      </w:pPr>
    </w:p>
    <w:p w14:paraId="49F34BFD" w14:textId="77777777" w:rsidR="00EF1DC1" w:rsidRPr="00EF1DC1" w:rsidRDefault="00EF1DC1" w:rsidP="00E15CF2">
      <w:pPr>
        <w:jc w:val="both"/>
        <w:rPr>
          <w:b/>
          <w:bCs/>
          <w:i/>
          <w:iCs/>
          <w:sz w:val="22"/>
          <w:szCs w:val="22"/>
        </w:rPr>
      </w:pPr>
    </w:p>
    <w:p w14:paraId="2690A8F1" w14:textId="24ADB427" w:rsidR="00031CCE" w:rsidRPr="00EF1DC1" w:rsidRDefault="00031CCE" w:rsidP="00D911F4">
      <w:pPr>
        <w:jc w:val="both"/>
        <w:rPr>
          <w:sz w:val="22"/>
          <w:szCs w:val="22"/>
        </w:rPr>
      </w:pPr>
      <w:r w:rsidRPr="00EF1DC1">
        <w:rPr>
          <w:b/>
          <w:bCs/>
          <w:i/>
          <w:iCs/>
          <w:sz w:val="22"/>
          <w:szCs w:val="22"/>
        </w:rPr>
        <w:lastRenderedPageBreak/>
        <w:t xml:space="preserve">Table S5. Generalized linear model (GLM) of </w:t>
      </w:r>
      <w:r w:rsidR="00CF3AC2" w:rsidRPr="00EF1DC1">
        <w:rPr>
          <w:b/>
          <w:bCs/>
          <w:i/>
          <w:iCs/>
          <w:color w:val="000000"/>
          <w:sz w:val="22"/>
          <w:szCs w:val="22"/>
        </w:rPr>
        <w:t>δ</w:t>
      </w:r>
      <w:r w:rsidR="00CF3AC2" w:rsidRPr="00EF1DC1">
        <w:rPr>
          <w:b/>
          <w:bCs/>
          <w:i/>
          <w:iCs/>
          <w:color w:val="000000"/>
          <w:sz w:val="22"/>
          <w:szCs w:val="22"/>
          <w:vertAlign w:val="superscript"/>
        </w:rPr>
        <w:t>7</w:t>
      </w:r>
      <w:r w:rsidRPr="00EF1DC1">
        <w:rPr>
          <w:b/>
          <w:bCs/>
          <w:i/>
          <w:iCs/>
          <w:sz w:val="22"/>
          <w:szCs w:val="22"/>
        </w:rPr>
        <w:t xml:space="preserve">Li vs. section, stage, and elemental ratios as additive predictors. </w:t>
      </w:r>
      <w:r w:rsidRPr="00EF1DC1">
        <w:rPr>
          <w:sz w:val="22"/>
          <w:szCs w:val="22"/>
        </w:rPr>
        <w:t xml:space="preserve">The reference case for the categorical variables is </w:t>
      </w:r>
      <w:proofErr w:type="spellStart"/>
      <w:r w:rsidRPr="00EF1DC1">
        <w:rPr>
          <w:sz w:val="22"/>
          <w:szCs w:val="22"/>
        </w:rPr>
        <w:t>Shanggang</w:t>
      </w:r>
      <w:proofErr w:type="spellEnd"/>
      <w:r w:rsidRPr="00EF1DC1">
        <w:rPr>
          <w:sz w:val="22"/>
          <w:szCs w:val="22"/>
        </w:rPr>
        <w:t xml:space="preserve"> for section and </w:t>
      </w:r>
      <w:proofErr w:type="spellStart"/>
      <w:r w:rsidRPr="00EF1DC1">
        <w:rPr>
          <w:sz w:val="22"/>
          <w:szCs w:val="22"/>
        </w:rPr>
        <w:t>Anisian</w:t>
      </w:r>
      <w:proofErr w:type="spellEnd"/>
      <w:r w:rsidRPr="00EF1DC1">
        <w:rPr>
          <w:sz w:val="22"/>
          <w:szCs w:val="22"/>
        </w:rPr>
        <w:t xml:space="preserve"> for stage. Significant relationships (</w:t>
      </w:r>
      <w:r w:rsidRPr="00EF1DC1">
        <w:rPr>
          <w:rFonts w:ascii="Cambria Math" w:hAnsi="Cambria Math" w:cs="Cambria Math"/>
          <w:color w:val="000000"/>
          <w:sz w:val="22"/>
          <w:szCs w:val="22"/>
        </w:rPr>
        <w:t>𝛼</w:t>
      </w:r>
      <w:r w:rsidRPr="00EF1DC1">
        <w:rPr>
          <w:sz w:val="22"/>
          <w:szCs w:val="22"/>
        </w:rPr>
        <w:t xml:space="preserve"> = 0.05) are bolded. This analysis shows that, when accounting for mineralogical predictors (Sr/Ca, Li/Ca, and Mg/Ca)</w:t>
      </w:r>
      <w:r w:rsidR="00D8759D" w:rsidRPr="00EF1DC1">
        <w:rPr>
          <w:sz w:val="22"/>
          <w:szCs w:val="22"/>
        </w:rPr>
        <w:t>, diagenesis (Mn/Sr),</w:t>
      </w:r>
      <w:r w:rsidRPr="00EF1DC1">
        <w:rPr>
          <w:sz w:val="22"/>
          <w:szCs w:val="22"/>
        </w:rPr>
        <w:t xml:space="preserve"> and for stage, the differences between sections are significant, with </w:t>
      </w:r>
      <w:proofErr w:type="spellStart"/>
      <w:r w:rsidRPr="00EF1DC1">
        <w:rPr>
          <w:sz w:val="22"/>
          <w:szCs w:val="22"/>
        </w:rPr>
        <w:t>Shanggang</w:t>
      </w:r>
      <w:proofErr w:type="spellEnd"/>
      <w:r w:rsidRPr="00EF1DC1">
        <w:rPr>
          <w:sz w:val="22"/>
          <w:szCs w:val="22"/>
        </w:rPr>
        <w:t xml:space="preserve"> and </w:t>
      </w:r>
      <w:proofErr w:type="spellStart"/>
      <w:r w:rsidRPr="00EF1DC1">
        <w:rPr>
          <w:sz w:val="22"/>
          <w:szCs w:val="22"/>
        </w:rPr>
        <w:t>Taskent</w:t>
      </w:r>
      <w:proofErr w:type="spellEnd"/>
      <w:r w:rsidRPr="00EF1DC1">
        <w:rPr>
          <w:sz w:val="22"/>
          <w:szCs w:val="22"/>
        </w:rPr>
        <w:t xml:space="preserve"> having higher </w:t>
      </w:r>
      <w:r w:rsidR="00CF3AC2" w:rsidRPr="00EF1DC1">
        <w:rPr>
          <w:color w:val="000000"/>
          <w:sz w:val="22"/>
          <w:szCs w:val="22"/>
        </w:rPr>
        <w:t>δ</w:t>
      </w:r>
      <w:r w:rsidR="00CF3AC2" w:rsidRPr="00EF1DC1">
        <w:rPr>
          <w:color w:val="000000"/>
          <w:sz w:val="22"/>
          <w:szCs w:val="22"/>
          <w:vertAlign w:val="superscript"/>
        </w:rPr>
        <w:t>7</w:t>
      </w:r>
      <w:r w:rsidRPr="00EF1DC1">
        <w:rPr>
          <w:sz w:val="22"/>
          <w:szCs w:val="22"/>
        </w:rPr>
        <w:t xml:space="preserve">Li than </w:t>
      </w:r>
      <w:proofErr w:type="spellStart"/>
      <w:r w:rsidRPr="00EF1DC1">
        <w:rPr>
          <w:sz w:val="22"/>
          <w:szCs w:val="22"/>
        </w:rPr>
        <w:t>Shangsi</w:t>
      </w:r>
      <w:proofErr w:type="spellEnd"/>
      <w:r w:rsidRPr="00EF1DC1">
        <w:rPr>
          <w:sz w:val="22"/>
          <w:szCs w:val="22"/>
        </w:rPr>
        <w:t xml:space="preserve"> and </w:t>
      </w:r>
      <w:proofErr w:type="spellStart"/>
      <w:r w:rsidRPr="00EF1DC1">
        <w:rPr>
          <w:sz w:val="22"/>
          <w:szCs w:val="22"/>
        </w:rPr>
        <w:t>Takachiho</w:t>
      </w:r>
      <w:proofErr w:type="spellEnd"/>
      <w:r w:rsidRPr="00EF1DC1">
        <w:rPr>
          <w:sz w:val="22"/>
          <w:szCs w:val="22"/>
        </w:rPr>
        <w:t xml:space="preserve">. Similarly, the differences in </w:t>
      </w:r>
      <w:r w:rsidR="00E15CF2" w:rsidRPr="00EF1DC1">
        <w:rPr>
          <w:color w:val="000000"/>
          <w:sz w:val="22"/>
          <w:szCs w:val="22"/>
        </w:rPr>
        <w:t>δ</w:t>
      </w:r>
      <w:r w:rsidRPr="00EF1DC1">
        <w:rPr>
          <w:sz w:val="22"/>
          <w:szCs w:val="22"/>
          <w:vertAlign w:val="superscript"/>
        </w:rPr>
        <w:t>7</w:t>
      </w:r>
      <w:r w:rsidRPr="00EF1DC1">
        <w:rPr>
          <w:sz w:val="22"/>
          <w:szCs w:val="22"/>
        </w:rPr>
        <w:t xml:space="preserve">Li between stages are significant, with </w:t>
      </w:r>
      <w:r w:rsidR="00CF3AC2" w:rsidRPr="00EF1DC1">
        <w:rPr>
          <w:color w:val="000000"/>
          <w:sz w:val="22"/>
          <w:szCs w:val="22"/>
        </w:rPr>
        <w:t>δ</w:t>
      </w:r>
      <w:r w:rsidR="00CF3AC2" w:rsidRPr="00EF1DC1">
        <w:rPr>
          <w:color w:val="000000"/>
          <w:sz w:val="22"/>
          <w:szCs w:val="22"/>
          <w:vertAlign w:val="superscript"/>
        </w:rPr>
        <w:t>7</w:t>
      </w:r>
      <w:r w:rsidRPr="00EF1DC1">
        <w:rPr>
          <w:sz w:val="22"/>
          <w:szCs w:val="22"/>
        </w:rPr>
        <w:t xml:space="preserve">Li in the </w:t>
      </w:r>
      <w:proofErr w:type="spellStart"/>
      <w:r w:rsidRPr="00EF1DC1">
        <w:rPr>
          <w:sz w:val="22"/>
          <w:szCs w:val="22"/>
        </w:rPr>
        <w:t>Anisian</w:t>
      </w:r>
      <w:proofErr w:type="spellEnd"/>
      <w:r w:rsidRPr="00EF1DC1">
        <w:rPr>
          <w:sz w:val="22"/>
          <w:szCs w:val="22"/>
        </w:rPr>
        <w:t xml:space="preserve"> higher than other stages. This supports the ANOVA results (Tables S2 and S4). Last, we find that mineralogy, as accounted for with Sr/Ca, Li/Ca, and Mg/Ca, </w:t>
      </w:r>
      <w:r w:rsidR="00D8759D" w:rsidRPr="00EF1DC1">
        <w:rPr>
          <w:sz w:val="22"/>
          <w:szCs w:val="22"/>
        </w:rPr>
        <w:t xml:space="preserve">or diagenesis, as represented by Mn/Sr, </w:t>
      </w:r>
      <w:r w:rsidRPr="00EF1DC1">
        <w:rPr>
          <w:sz w:val="22"/>
          <w:szCs w:val="22"/>
        </w:rPr>
        <w:t xml:space="preserve">cannot be the primary predictor of differences in </w:t>
      </w:r>
      <w:r w:rsidR="00CF3AC2" w:rsidRPr="00EF1DC1">
        <w:rPr>
          <w:color w:val="000000"/>
          <w:sz w:val="22"/>
          <w:szCs w:val="22"/>
        </w:rPr>
        <w:t>δ</w:t>
      </w:r>
      <w:r w:rsidR="00CF3AC2" w:rsidRPr="00EF1DC1">
        <w:rPr>
          <w:color w:val="000000"/>
          <w:sz w:val="22"/>
          <w:szCs w:val="22"/>
          <w:vertAlign w:val="superscript"/>
        </w:rPr>
        <w:t>7</w:t>
      </w:r>
      <w:r w:rsidRPr="00EF1DC1">
        <w:rPr>
          <w:sz w:val="22"/>
          <w:szCs w:val="22"/>
        </w:rPr>
        <w:t>Li among sections or among stages.</w:t>
      </w:r>
    </w:p>
    <w:tbl>
      <w:tblPr>
        <w:tblW w:w="5320" w:type="dxa"/>
        <w:tblLook w:val="04A0" w:firstRow="1" w:lastRow="0" w:firstColumn="1" w:lastColumn="0" w:noHBand="0" w:noVBand="1"/>
      </w:tblPr>
      <w:tblGrid>
        <w:gridCol w:w="2720"/>
        <w:gridCol w:w="1300"/>
        <w:gridCol w:w="1300"/>
      </w:tblGrid>
      <w:tr w:rsidR="00031CCE" w:rsidRPr="00EF1DC1" w14:paraId="5EA4BCD3" w14:textId="77777777" w:rsidTr="00031CCE">
        <w:trPr>
          <w:trHeight w:val="320"/>
        </w:trPr>
        <w:tc>
          <w:tcPr>
            <w:tcW w:w="2720" w:type="dxa"/>
            <w:tcBorders>
              <w:top w:val="single" w:sz="4" w:space="0" w:color="auto"/>
              <w:left w:val="nil"/>
              <w:bottom w:val="single" w:sz="4" w:space="0" w:color="auto"/>
              <w:right w:val="nil"/>
            </w:tcBorders>
            <w:noWrap/>
            <w:vAlign w:val="bottom"/>
            <w:hideMark/>
          </w:tcPr>
          <w:p w14:paraId="51B6B8FE" w14:textId="39C9F515" w:rsidR="00031CCE" w:rsidRPr="00EF1DC1" w:rsidRDefault="00031CCE" w:rsidP="00031CCE">
            <w:pPr>
              <w:rPr>
                <w:b/>
                <w:bCs/>
                <w:color w:val="000000"/>
                <w:sz w:val="22"/>
                <w:szCs w:val="22"/>
              </w:rPr>
            </w:pPr>
            <w:r w:rsidRPr="00EF1DC1">
              <w:rPr>
                <w:b/>
                <w:bCs/>
                <w:color w:val="000000"/>
                <w:sz w:val="22"/>
                <w:szCs w:val="22"/>
              </w:rPr>
              <w:t>Coefficient</w:t>
            </w:r>
          </w:p>
        </w:tc>
        <w:tc>
          <w:tcPr>
            <w:tcW w:w="1300" w:type="dxa"/>
            <w:tcBorders>
              <w:top w:val="single" w:sz="4" w:space="0" w:color="auto"/>
              <w:left w:val="nil"/>
              <w:bottom w:val="single" w:sz="4" w:space="0" w:color="auto"/>
              <w:right w:val="nil"/>
            </w:tcBorders>
            <w:noWrap/>
            <w:vAlign w:val="bottom"/>
            <w:hideMark/>
          </w:tcPr>
          <w:p w14:paraId="69E3D7EA" w14:textId="77777777" w:rsidR="00031CCE" w:rsidRPr="00EF1DC1" w:rsidRDefault="00031CCE" w:rsidP="00031CCE">
            <w:pPr>
              <w:rPr>
                <w:b/>
                <w:bCs/>
                <w:color w:val="000000"/>
                <w:sz w:val="22"/>
                <w:szCs w:val="22"/>
              </w:rPr>
            </w:pPr>
            <w:r w:rsidRPr="00EF1DC1">
              <w:rPr>
                <w:b/>
                <w:bCs/>
                <w:color w:val="000000"/>
                <w:sz w:val="22"/>
                <w:szCs w:val="22"/>
              </w:rPr>
              <w:t>Estimate</w:t>
            </w:r>
          </w:p>
        </w:tc>
        <w:tc>
          <w:tcPr>
            <w:tcW w:w="1300" w:type="dxa"/>
            <w:tcBorders>
              <w:top w:val="single" w:sz="4" w:space="0" w:color="auto"/>
              <w:left w:val="nil"/>
              <w:bottom w:val="single" w:sz="4" w:space="0" w:color="auto"/>
              <w:right w:val="nil"/>
            </w:tcBorders>
            <w:noWrap/>
            <w:vAlign w:val="bottom"/>
            <w:hideMark/>
          </w:tcPr>
          <w:p w14:paraId="64DF1E92" w14:textId="77777777" w:rsidR="00031CCE" w:rsidRPr="00EF1DC1" w:rsidRDefault="00031CCE" w:rsidP="00031CCE">
            <w:pPr>
              <w:rPr>
                <w:b/>
                <w:bCs/>
                <w:color w:val="000000"/>
                <w:sz w:val="22"/>
                <w:szCs w:val="22"/>
              </w:rPr>
            </w:pPr>
            <w:r w:rsidRPr="00EF1DC1">
              <w:rPr>
                <w:b/>
                <w:bCs/>
                <w:color w:val="000000"/>
                <w:sz w:val="22"/>
                <w:szCs w:val="22"/>
              </w:rPr>
              <w:t>p-value</w:t>
            </w:r>
          </w:p>
        </w:tc>
      </w:tr>
      <w:tr w:rsidR="00031CCE" w:rsidRPr="00EF1DC1" w14:paraId="6E6FFA06" w14:textId="77777777" w:rsidTr="00031CCE">
        <w:trPr>
          <w:trHeight w:val="320"/>
        </w:trPr>
        <w:tc>
          <w:tcPr>
            <w:tcW w:w="2720" w:type="dxa"/>
            <w:tcBorders>
              <w:top w:val="nil"/>
              <w:left w:val="nil"/>
              <w:bottom w:val="nil"/>
              <w:right w:val="nil"/>
            </w:tcBorders>
            <w:noWrap/>
            <w:vAlign w:val="bottom"/>
            <w:hideMark/>
          </w:tcPr>
          <w:p w14:paraId="70ECD92B" w14:textId="77777777" w:rsidR="00031CCE" w:rsidRPr="00EF1DC1" w:rsidRDefault="00031CCE" w:rsidP="00031CCE">
            <w:pPr>
              <w:rPr>
                <w:i/>
                <w:iCs/>
                <w:color w:val="000000"/>
                <w:sz w:val="22"/>
                <w:szCs w:val="22"/>
              </w:rPr>
            </w:pPr>
            <w:r w:rsidRPr="00EF1DC1">
              <w:rPr>
                <w:i/>
                <w:iCs/>
                <w:color w:val="000000"/>
                <w:sz w:val="22"/>
                <w:szCs w:val="22"/>
              </w:rPr>
              <w:t>Intercept</w:t>
            </w:r>
          </w:p>
        </w:tc>
        <w:tc>
          <w:tcPr>
            <w:tcW w:w="1300" w:type="dxa"/>
            <w:tcBorders>
              <w:top w:val="nil"/>
              <w:left w:val="nil"/>
              <w:bottom w:val="nil"/>
              <w:right w:val="nil"/>
            </w:tcBorders>
            <w:noWrap/>
            <w:vAlign w:val="center"/>
            <w:hideMark/>
          </w:tcPr>
          <w:p w14:paraId="495443C0" w14:textId="7BEE23D8" w:rsidR="00031CCE" w:rsidRPr="00EF1DC1" w:rsidRDefault="00D8759D" w:rsidP="00031CCE">
            <w:pPr>
              <w:jc w:val="center"/>
              <w:rPr>
                <w:i/>
                <w:iCs/>
                <w:color w:val="000000"/>
                <w:sz w:val="22"/>
                <w:szCs w:val="22"/>
              </w:rPr>
            </w:pPr>
            <w:r w:rsidRPr="00EF1DC1">
              <w:rPr>
                <w:i/>
                <w:iCs/>
                <w:color w:val="000000"/>
                <w:sz w:val="22"/>
                <w:szCs w:val="22"/>
              </w:rPr>
              <w:t>14.5</w:t>
            </w:r>
          </w:p>
        </w:tc>
        <w:tc>
          <w:tcPr>
            <w:tcW w:w="1300" w:type="dxa"/>
            <w:tcBorders>
              <w:top w:val="nil"/>
              <w:left w:val="nil"/>
              <w:bottom w:val="nil"/>
              <w:right w:val="nil"/>
            </w:tcBorders>
            <w:noWrap/>
            <w:vAlign w:val="center"/>
            <w:hideMark/>
          </w:tcPr>
          <w:p w14:paraId="40B803A0" w14:textId="77777777" w:rsidR="00031CCE" w:rsidRPr="00EF1DC1" w:rsidRDefault="00031CCE" w:rsidP="00031CCE">
            <w:pPr>
              <w:jc w:val="center"/>
              <w:rPr>
                <w:b/>
                <w:bCs/>
                <w:i/>
                <w:iCs/>
                <w:color w:val="000000"/>
                <w:sz w:val="22"/>
                <w:szCs w:val="22"/>
              </w:rPr>
            </w:pPr>
            <w:r w:rsidRPr="00EF1DC1">
              <w:rPr>
                <w:b/>
                <w:bCs/>
                <w:i/>
                <w:iCs/>
                <w:color w:val="000000"/>
                <w:sz w:val="22"/>
                <w:szCs w:val="22"/>
              </w:rPr>
              <w:t>&lt;0.001</w:t>
            </w:r>
          </w:p>
        </w:tc>
      </w:tr>
      <w:tr w:rsidR="00031CCE" w:rsidRPr="00EF1DC1" w14:paraId="762C0668" w14:textId="77777777" w:rsidTr="00031CCE">
        <w:trPr>
          <w:trHeight w:val="320"/>
        </w:trPr>
        <w:tc>
          <w:tcPr>
            <w:tcW w:w="2720" w:type="dxa"/>
            <w:tcBorders>
              <w:top w:val="nil"/>
              <w:left w:val="nil"/>
              <w:bottom w:val="nil"/>
              <w:right w:val="nil"/>
            </w:tcBorders>
            <w:noWrap/>
            <w:vAlign w:val="bottom"/>
            <w:hideMark/>
          </w:tcPr>
          <w:p w14:paraId="58D79D68" w14:textId="77777777" w:rsidR="00031CCE" w:rsidRPr="00EF1DC1" w:rsidRDefault="00031CCE" w:rsidP="00031CCE">
            <w:pPr>
              <w:rPr>
                <w:color w:val="000000"/>
                <w:sz w:val="22"/>
                <w:szCs w:val="22"/>
              </w:rPr>
            </w:pPr>
            <w:r w:rsidRPr="00EF1DC1">
              <w:rPr>
                <w:color w:val="000000"/>
                <w:sz w:val="22"/>
                <w:szCs w:val="22"/>
              </w:rPr>
              <w:t xml:space="preserve">Section - </w:t>
            </w:r>
            <w:proofErr w:type="spellStart"/>
            <w:r w:rsidRPr="00EF1DC1">
              <w:rPr>
                <w:color w:val="000000"/>
                <w:sz w:val="22"/>
                <w:szCs w:val="22"/>
              </w:rPr>
              <w:t>Shangsi</w:t>
            </w:r>
            <w:proofErr w:type="spellEnd"/>
          </w:p>
        </w:tc>
        <w:tc>
          <w:tcPr>
            <w:tcW w:w="1300" w:type="dxa"/>
            <w:tcBorders>
              <w:top w:val="nil"/>
              <w:left w:val="nil"/>
              <w:bottom w:val="nil"/>
              <w:right w:val="nil"/>
            </w:tcBorders>
            <w:noWrap/>
            <w:vAlign w:val="center"/>
            <w:hideMark/>
          </w:tcPr>
          <w:p w14:paraId="62BE87E7" w14:textId="77AA2F5C" w:rsidR="00031CCE" w:rsidRPr="00EF1DC1" w:rsidRDefault="00031CCE" w:rsidP="00031CCE">
            <w:pPr>
              <w:jc w:val="center"/>
              <w:rPr>
                <w:color w:val="000000"/>
                <w:sz w:val="22"/>
                <w:szCs w:val="22"/>
              </w:rPr>
            </w:pPr>
            <w:r w:rsidRPr="00EF1DC1">
              <w:rPr>
                <w:color w:val="000000"/>
                <w:sz w:val="22"/>
                <w:szCs w:val="22"/>
              </w:rPr>
              <w:t>-</w:t>
            </w:r>
            <w:r w:rsidR="00D8759D" w:rsidRPr="00EF1DC1">
              <w:rPr>
                <w:color w:val="000000"/>
                <w:sz w:val="22"/>
                <w:szCs w:val="22"/>
              </w:rPr>
              <w:t>8.4</w:t>
            </w:r>
          </w:p>
        </w:tc>
        <w:tc>
          <w:tcPr>
            <w:tcW w:w="1300" w:type="dxa"/>
            <w:tcBorders>
              <w:top w:val="nil"/>
              <w:left w:val="nil"/>
              <w:bottom w:val="nil"/>
              <w:right w:val="nil"/>
            </w:tcBorders>
            <w:noWrap/>
            <w:vAlign w:val="center"/>
            <w:hideMark/>
          </w:tcPr>
          <w:p w14:paraId="4270A30D" w14:textId="31AFB8A2" w:rsidR="00031CCE" w:rsidRPr="00EF1DC1" w:rsidRDefault="00031CCE" w:rsidP="00031CCE">
            <w:pPr>
              <w:jc w:val="center"/>
              <w:rPr>
                <w:b/>
                <w:bCs/>
                <w:color w:val="000000"/>
                <w:sz w:val="22"/>
                <w:szCs w:val="22"/>
              </w:rPr>
            </w:pPr>
            <w:r w:rsidRPr="00EF1DC1">
              <w:rPr>
                <w:b/>
                <w:bCs/>
                <w:color w:val="000000"/>
                <w:sz w:val="22"/>
                <w:szCs w:val="22"/>
              </w:rPr>
              <w:t>0.00</w:t>
            </w:r>
            <w:r w:rsidR="006344DD" w:rsidRPr="00EF1DC1">
              <w:rPr>
                <w:b/>
                <w:bCs/>
                <w:color w:val="000000"/>
                <w:sz w:val="22"/>
                <w:szCs w:val="22"/>
              </w:rPr>
              <w:t>7</w:t>
            </w:r>
          </w:p>
        </w:tc>
      </w:tr>
      <w:tr w:rsidR="00031CCE" w:rsidRPr="00EF1DC1" w14:paraId="05921F49" w14:textId="77777777" w:rsidTr="00031CCE">
        <w:trPr>
          <w:trHeight w:val="320"/>
        </w:trPr>
        <w:tc>
          <w:tcPr>
            <w:tcW w:w="2720" w:type="dxa"/>
            <w:tcBorders>
              <w:top w:val="nil"/>
              <w:left w:val="nil"/>
              <w:bottom w:val="nil"/>
              <w:right w:val="nil"/>
            </w:tcBorders>
            <w:noWrap/>
            <w:vAlign w:val="bottom"/>
            <w:hideMark/>
          </w:tcPr>
          <w:p w14:paraId="11FEB813" w14:textId="77777777" w:rsidR="00031CCE" w:rsidRPr="00EF1DC1" w:rsidRDefault="00031CCE" w:rsidP="00031CCE">
            <w:pPr>
              <w:rPr>
                <w:color w:val="000000"/>
                <w:sz w:val="22"/>
                <w:szCs w:val="22"/>
              </w:rPr>
            </w:pPr>
            <w:r w:rsidRPr="00EF1DC1">
              <w:rPr>
                <w:color w:val="000000"/>
                <w:sz w:val="22"/>
                <w:szCs w:val="22"/>
              </w:rPr>
              <w:t xml:space="preserve">Section - </w:t>
            </w:r>
            <w:proofErr w:type="spellStart"/>
            <w:r w:rsidRPr="00EF1DC1">
              <w:rPr>
                <w:color w:val="000000"/>
                <w:sz w:val="22"/>
                <w:szCs w:val="22"/>
              </w:rPr>
              <w:t>Takachiho</w:t>
            </w:r>
            <w:proofErr w:type="spellEnd"/>
          </w:p>
        </w:tc>
        <w:tc>
          <w:tcPr>
            <w:tcW w:w="1300" w:type="dxa"/>
            <w:tcBorders>
              <w:top w:val="nil"/>
              <w:left w:val="nil"/>
              <w:bottom w:val="nil"/>
              <w:right w:val="nil"/>
            </w:tcBorders>
            <w:noWrap/>
            <w:vAlign w:val="center"/>
            <w:hideMark/>
          </w:tcPr>
          <w:p w14:paraId="73E860C7" w14:textId="45A687E8" w:rsidR="00031CCE" w:rsidRPr="00EF1DC1" w:rsidRDefault="00031CCE" w:rsidP="00031CCE">
            <w:pPr>
              <w:jc w:val="center"/>
              <w:rPr>
                <w:color w:val="000000"/>
                <w:sz w:val="22"/>
                <w:szCs w:val="22"/>
              </w:rPr>
            </w:pPr>
            <w:r w:rsidRPr="00EF1DC1">
              <w:rPr>
                <w:color w:val="000000"/>
                <w:sz w:val="22"/>
                <w:szCs w:val="22"/>
              </w:rPr>
              <w:t>-</w:t>
            </w:r>
            <w:r w:rsidR="006344DD" w:rsidRPr="00EF1DC1">
              <w:rPr>
                <w:color w:val="000000"/>
                <w:sz w:val="22"/>
                <w:szCs w:val="22"/>
              </w:rPr>
              <w:t>4.7</w:t>
            </w:r>
          </w:p>
        </w:tc>
        <w:tc>
          <w:tcPr>
            <w:tcW w:w="1300" w:type="dxa"/>
            <w:tcBorders>
              <w:top w:val="nil"/>
              <w:left w:val="nil"/>
              <w:bottom w:val="nil"/>
              <w:right w:val="nil"/>
            </w:tcBorders>
            <w:noWrap/>
            <w:vAlign w:val="center"/>
            <w:hideMark/>
          </w:tcPr>
          <w:p w14:paraId="34D5B51E" w14:textId="4F108547" w:rsidR="00031CCE" w:rsidRPr="00EF1DC1" w:rsidRDefault="006344DD" w:rsidP="00031CCE">
            <w:pPr>
              <w:jc w:val="center"/>
              <w:rPr>
                <w:b/>
                <w:bCs/>
                <w:color w:val="000000"/>
                <w:sz w:val="22"/>
                <w:szCs w:val="22"/>
              </w:rPr>
            </w:pPr>
            <w:r w:rsidRPr="00EF1DC1">
              <w:rPr>
                <w:b/>
                <w:bCs/>
                <w:color w:val="000000"/>
                <w:sz w:val="22"/>
                <w:szCs w:val="22"/>
              </w:rPr>
              <w:t>0.005</w:t>
            </w:r>
          </w:p>
        </w:tc>
      </w:tr>
      <w:tr w:rsidR="00031CCE" w:rsidRPr="00EF1DC1" w14:paraId="2D949E4E" w14:textId="77777777" w:rsidTr="00031CCE">
        <w:trPr>
          <w:trHeight w:val="320"/>
        </w:trPr>
        <w:tc>
          <w:tcPr>
            <w:tcW w:w="2720" w:type="dxa"/>
            <w:tcBorders>
              <w:top w:val="nil"/>
              <w:left w:val="nil"/>
              <w:bottom w:val="nil"/>
              <w:right w:val="nil"/>
            </w:tcBorders>
            <w:noWrap/>
            <w:vAlign w:val="bottom"/>
            <w:hideMark/>
          </w:tcPr>
          <w:p w14:paraId="51C6EFC3" w14:textId="1C340645" w:rsidR="00031CCE" w:rsidRPr="00EF1DC1" w:rsidRDefault="00031CCE" w:rsidP="00031CCE">
            <w:pPr>
              <w:rPr>
                <w:color w:val="000000"/>
                <w:sz w:val="22"/>
                <w:szCs w:val="22"/>
              </w:rPr>
            </w:pPr>
            <w:r w:rsidRPr="00EF1DC1">
              <w:rPr>
                <w:color w:val="000000"/>
                <w:sz w:val="22"/>
                <w:szCs w:val="22"/>
              </w:rPr>
              <w:t xml:space="preserve">Section - </w:t>
            </w:r>
            <w:proofErr w:type="spellStart"/>
            <w:r w:rsidRPr="00EF1DC1">
              <w:rPr>
                <w:color w:val="000000"/>
                <w:sz w:val="22"/>
                <w:szCs w:val="22"/>
              </w:rPr>
              <w:t>Ta</w:t>
            </w:r>
            <w:r w:rsidR="0008703E" w:rsidRPr="00EF1DC1">
              <w:rPr>
                <w:color w:val="000000"/>
                <w:sz w:val="22"/>
                <w:szCs w:val="22"/>
              </w:rPr>
              <w:t>ş</w:t>
            </w:r>
            <w:r w:rsidRPr="00EF1DC1">
              <w:rPr>
                <w:color w:val="000000"/>
                <w:sz w:val="22"/>
                <w:szCs w:val="22"/>
              </w:rPr>
              <w:t>kent</w:t>
            </w:r>
            <w:proofErr w:type="spellEnd"/>
          </w:p>
        </w:tc>
        <w:tc>
          <w:tcPr>
            <w:tcW w:w="1300" w:type="dxa"/>
            <w:tcBorders>
              <w:top w:val="nil"/>
              <w:left w:val="nil"/>
              <w:bottom w:val="nil"/>
              <w:right w:val="nil"/>
            </w:tcBorders>
            <w:noWrap/>
            <w:vAlign w:val="center"/>
            <w:hideMark/>
          </w:tcPr>
          <w:p w14:paraId="57E8E72D" w14:textId="03299107" w:rsidR="00031CCE" w:rsidRPr="00EF1DC1" w:rsidRDefault="006344DD" w:rsidP="00031CCE">
            <w:pPr>
              <w:jc w:val="center"/>
              <w:rPr>
                <w:color w:val="000000"/>
                <w:sz w:val="22"/>
                <w:szCs w:val="22"/>
              </w:rPr>
            </w:pPr>
            <w:r w:rsidRPr="00EF1DC1">
              <w:rPr>
                <w:color w:val="000000"/>
                <w:sz w:val="22"/>
                <w:szCs w:val="22"/>
              </w:rPr>
              <w:t>0.02</w:t>
            </w:r>
          </w:p>
        </w:tc>
        <w:tc>
          <w:tcPr>
            <w:tcW w:w="1300" w:type="dxa"/>
            <w:tcBorders>
              <w:top w:val="nil"/>
              <w:left w:val="nil"/>
              <w:bottom w:val="nil"/>
              <w:right w:val="nil"/>
            </w:tcBorders>
            <w:noWrap/>
            <w:vAlign w:val="center"/>
            <w:hideMark/>
          </w:tcPr>
          <w:p w14:paraId="1CF9934C" w14:textId="12D51309" w:rsidR="00031CCE" w:rsidRPr="00EF1DC1" w:rsidRDefault="00031CCE" w:rsidP="00031CCE">
            <w:pPr>
              <w:jc w:val="center"/>
              <w:rPr>
                <w:color w:val="000000"/>
                <w:sz w:val="22"/>
                <w:szCs w:val="22"/>
              </w:rPr>
            </w:pPr>
            <w:r w:rsidRPr="00EF1DC1">
              <w:rPr>
                <w:color w:val="000000"/>
                <w:sz w:val="22"/>
                <w:szCs w:val="22"/>
              </w:rPr>
              <w:t>0.</w:t>
            </w:r>
            <w:r w:rsidR="006344DD" w:rsidRPr="00EF1DC1">
              <w:rPr>
                <w:color w:val="000000"/>
                <w:sz w:val="22"/>
                <w:szCs w:val="22"/>
              </w:rPr>
              <w:t>994</w:t>
            </w:r>
          </w:p>
        </w:tc>
      </w:tr>
      <w:tr w:rsidR="00031CCE" w:rsidRPr="00EF1DC1" w14:paraId="1533D954" w14:textId="77777777" w:rsidTr="00031CCE">
        <w:trPr>
          <w:trHeight w:val="320"/>
        </w:trPr>
        <w:tc>
          <w:tcPr>
            <w:tcW w:w="2720" w:type="dxa"/>
            <w:tcBorders>
              <w:top w:val="nil"/>
              <w:left w:val="nil"/>
              <w:bottom w:val="nil"/>
              <w:right w:val="nil"/>
            </w:tcBorders>
            <w:noWrap/>
            <w:vAlign w:val="bottom"/>
            <w:hideMark/>
          </w:tcPr>
          <w:p w14:paraId="3989EC0E" w14:textId="77777777" w:rsidR="00031CCE" w:rsidRPr="00EF1DC1" w:rsidRDefault="00031CCE" w:rsidP="00031CCE">
            <w:pPr>
              <w:rPr>
                <w:color w:val="000000"/>
                <w:sz w:val="22"/>
                <w:szCs w:val="22"/>
              </w:rPr>
            </w:pPr>
            <w:r w:rsidRPr="00EF1DC1">
              <w:rPr>
                <w:color w:val="000000"/>
                <w:sz w:val="22"/>
                <w:szCs w:val="22"/>
              </w:rPr>
              <w:t xml:space="preserve">Stage - </w:t>
            </w:r>
            <w:proofErr w:type="spellStart"/>
            <w:r w:rsidRPr="00EF1DC1">
              <w:rPr>
                <w:color w:val="000000"/>
                <w:sz w:val="22"/>
                <w:szCs w:val="22"/>
              </w:rPr>
              <w:t>Changhsingian</w:t>
            </w:r>
            <w:proofErr w:type="spellEnd"/>
          </w:p>
        </w:tc>
        <w:tc>
          <w:tcPr>
            <w:tcW w:w="1300" w:type="dxa"/>
            <w:tcBorders>
              <w:top w:val="nil"/>
              <w:left w:val="nil"/>
              <w:bottom w:val="nil"/>
              <w:right w:val="nil"/>
            </w:tcBorders>
            <w:noWrap/>
            <w:vAlign w:val="center"/>
            <w:hideMark/>
          </w:tcPr>
          <w:p w14:paraId="7B31A721" w14:textId="52BC5696" w:rsidR="00031CCE" w:rsidRPr="00EF1DC1" w:rsidRDefault="00031CCE" w:rsidP="00031CCE">
            <w:pPr>
              <w:jc w:val="center"/>
              <w:rPr>
                <w:color w:val="000000"/>
                <w:sz w:val="22"/>
                <w:szCs w:val="22"/>
              </w:rPr>
            </w:pPr>
            <w:r w:rsidRPr="00EF1DC1">
              <w:rPr>
                <w:color w:val="000000"/>
                <w:sz w:val="22"/>
                <w:szCs w:val="22"/>
              </w:rPr>
              <w:t>-</w:t>
            </w:r>
            <w:r w:rsidR="006344DD" w:rsidRPr="00EF1DC1">
              <w:rPr>
                <w:color w:val="000000"/>
                <w:sz w:val="22"/>
                <w:szCs w:val="22"/>
              </w:rPr>
              <w:t>5.0</w:t>
            </w:r>
          </w:p>
        </w:tc>
        <w:tc>
          <w:tcPr>
            <w:tcW w:w="1300" w:type="dxa"/>
            <w:tcBorders>
              <w:top w:val="nil"/>
              <w:left w:val="nil"/>
              <w:bottom w:val="nil"/>
              <w:right w:val="nil"/>
            </w:tcBorders>
            <w:noWrap/>
            <w:vAlign w:val="center"/>
            <w:hideMark/>
          </w:tcPr>
          <w:p w14:paraId="3AE59938" w14:textId="22560F1A" w:rsidR="00031CCE" w:rsidRPr="00EF1DC1" w:rsidRDefault="00D8759D" w:rsidP="00031CCE">
            <w:pPr>
              <w:jc w:val="center"/>
              <w:rPr>
                <w:b/>
                <w:bCs/>
                <w:color w:val="000000"/>
                <w:sz w:val="22"/>
                <w:szCs w:val="22"/>
              </w:rPr>
            </w:pPr>
            <w:r w:rsidRPr="00EF1DC1">
              <w:rPr>
                <w:b/>
                <w:bCs/>
                <w:color w:val="000000"/>
                <w:sz w:val="22"/>
                <w:szCs w:val="22"/>
              </w:rPr>
              <w:t>0.0</w:t>
            </w:r>
            <w:r w:rsidR="006344DD" w:rsidRPr="00EF1DC1">
              <w:rPr>
                <w:b/>
                <w:bCs/>
                <w:color w:val="000000"/>
                <w:sz w:val="22"/>
                <w:szCs w:val="22"/>
              </w:rPr>
              <w:t>26</w:t>
            </w:r>
          </w:p>
        </w:tc>
      </w:tr>
      <w:tr w:rsidR="00031CCE" w:rsidRPr="00EF1DC1" w14:paraId="4E80A8D4" w14:textId="77777777" w:rsidTr="00031CCE">
        <w:trPr>
          <w:trHeight w:val="320"/>
        </w:trPr>
        <w:tc>
          <w:tcPr>
            <w:tcW w:w="2720" w:type="dxa"/>
            <w:tcBorders>
              <w:top w:val="nil"/>
              <w:left w:val="nil"/>
              <w:bottom w:val="nil"/>
              <w:right w:val="nil"/>
            </w:tcBorders>
            <w:noWrap/>
            <w:vAlign w:val="bottom"/>
            <w:hideMark/>
          </w:tcPr>
          <w:p w14:paraId="01253925" w14:textId="77777777" w:rsidR="00031CCE" w:rsidRPr="00EF1DC1" w:rsidRDefault="00031CCE" w:rsidP="00031CCE">
            <w:pPr>
              <w:rPr>
                <w:color w:val="000000"/>
                <w:sz w:val="22"/>
                <w:szCs w:val="22"/>
              </w:rPr>
            </w:pPr>
            <w:r w:rsidRPr="00EF1DC1">
              <w:rPr>
                <w:color w:val="000000"/>
                <w:sz w:val="22"/>
                <w:szCs w:val="22"/>
              </w:rPr>
              <w:t xml:space="preserve">Stage- </w:t>
            </w:r>
            <w:proofErr w:type="spellStart"/>
            <w:r w:rsidRPr="00EF1DC1">
              <w:rPr>
                <w:color w:val="000000"/>
                <w:sz w:val="22"/>
                <w:szCs w:val="22"/>
              </w:rPr>
              <w:t>Induan</w:t>
            </w:r>
            <w:proofErr w:type="spellEnd"/>
          </w:p>
        </w:tc>
        <w:tc>
          <w:tcPr>
            <w:tcW w:w="1300" w:type="dxa"/>
            <w:tcBorders>
              <w:top w:val="nil"/>
              <w:left w:val="nil"/>
              <w:bottom w:val="nil"/>
              <w:right w:val="nil"/>
            </w:tcBorders>
            <w:noWrap/>
            <w:vAlign w:val="center"/>
            <w:hideMark/>
          </w:tcPr>
          <w:p w14:paraId="0C0DFAD0" w14:textId="61D8A323" w:rsidR="00031CCE" w:rsidRPr="00EF1DC1" w:rsidRDefault="00031CCE" w:rsidP="00031CCE">
            <w:pPr>
              <w:jc w:val="center"/>
              <w:rPr>
                <w:color w:val="000000"/>
                <w:sz w:val="22"/>
                <w:szCs w:val="22"/>
              </w:rPr>
            </w:pPr>
            <w:r w:rsidRPr="00EF1DC1">
              <w:rPr>
                <w:color w:val="000000"/>
                <w:sz w:val="22"/>
                <w:szCs w:val="22"/>
              </w:rPr>
              <w:t>-</w:t>
            </w:r>
            <w:r w:rsidR="00D8759D" w:rsidRPr="00EF1DC1">
              <w:rPr>
                <w:color w:val="000000"/>
                <w:sz w:val="22"/>
                <w:szCs w:val="22"/>
              </w:rPr>
              <w:t>8.</w:t>
            </w:r>
            <w:r w:rsidR="006344DD" w:rsidRPr="00EF1DC1">
              <w:rPr>
                <w:color w:val="000000"/>
                <w:sz w:val="22"/>
                <w:szCs w:val="22"/>
              </w:rPr>
              <w:t>4</w:t>
            </w:r>
          </w:p>
        </w:tc>
        <w:tc>
          <w:tcPr>
            <w:tcW w:w="1300" w:type="dxa"/>
            <w:tcBorders>
              <w:top w:val="nil"/>
              <w:left w:val="nil"/>
              <w:bottom w:val="nil"/>
              <w:right w:val="nil"/>
            </w:tcBorders>
            <w:noWrap/>
            <w:vAlign w:val="center"/>
            <w:hideMark/>
          </w:tcPr>
          <w:p w14:paraId="0F5BC426" w14:textId="77777777" w:rsidR="00031CCE" w:rsidRPr="00EF1DC1" w:rsidRDefault="00031CCE" w:rsidP="00031CCE">
            <w:pPr>
              <w:jc w:val="center"/>
              <w:rPr>
                <w:b/>
                <w:bCs/>
                <w:color w:val="000000"/>
                <w:sz w:val="22"/>
                <w:szCs w:val="22"/>
              </w:rPr>
            </w:pPr>
            <w:r w:rsidRPr="00EF1DC1">
              <w:rPr>
                <w:b/>
                <w:bCs/>
                <w:color w:val="000000"/>
                <w:sz w:val="22"/>
                <w:szCs w:val="22"/>
              </w:rPr>
              <w:t>&lt;0.001</w:t>
            </w:r>
          </w:p>
        </w:tc>
      </w:tr>
      <w:tr w:rsidR="00031CCE" w:rsidRPr="00EF1DC1" w14:paraId="187F307E" w14:textId="77777777" w:rsidTr="00031CCE">
        <w:trPr>
          <w:trHeight w:val="320"/>
        </w:trPr>
        <w:tc>
          <w:tcPr>
            <w:tcW w:w="2720" w:type="dxa"/>
            <w:tcBorders>
              <w:top w:val="nil"/>
              <w:left w:val="nil"/>
              <w:bottom w:val="nil"/>
              <w:right w:val="nil"/>
            </w:tcBorders>
            <w:noWrap/>
            <w:vAlign w:val="bottom"/>
            <w:hideMark/>
          </w:tcPr>
          <w:p w14:paraId="38D9A5FE" w14:textId="77777777" w:rsidR="00031CCE" w:rsidRPr="00EF1DC1" w:rsidRDefault="00031CCE" w:rsidP="00031CCE">
            <w:pPr>
              <w:rPr>
                <w:color w:val="000000"/>
                <w:sz w:val="22"/>
                <w:szCs w:val="22"/>
              </w:rPr>
            </w:pPr>
            <w:r w:rsidRPr="00EF1DC1">
              <w:rPr>
                <w:color w:val="000000"/>
                <w:sz w:val="22"/>
                <w:szCs w:val="22"/>
              </w:rPr>
              <w:t xml:space="preserve">Stage - </w:t>
            </w:r>
            <w:proofErr w:type="spellStart"/>
            <w:r w:rsidRPr="00EF1DC1">
              <w:rPr>
                <w:color w:val="000000"/>
                <w:sz w:val="22"/>
                <w:szCs w:val="22"/>
              </w:rPr>
              <w:t>Olenekian</w:t>
            </w:r>
            <w:proofErr w:type="spellEnd"/>
          </w:p>
        </w:tc>
        <w:tc>
          <w:tcPr>
            <w:tcW w:w="1300" w:type="dxa"/>
            <w:tcBorders>
              <w:top w:val="nil"/>
              <w:left w:val="nil"/>
              <w:bottom w:val="nil"/>
              <w:right w:val="nil"/>
            </w:tcBorders>
            <w:noWrap/>
            <w:vAlign w:val="center"/>
            <w:hideMark/>
          </w:tcPr>
          <w:p w14:paraId="10C1E2C2" w14:textId="033A8F2A" w:rsidR="00031CCE" w:rsidRPr="00EF1DC1" w:rsidRDefault="00031CCE" w:rsidP="00031CCE">
            <w:pPr>
              <w:jc w:val="center"/>
              <w:rPr>
                <w:color w:val="000000"/>
                <w:sz w:val="22"/>
                <w:szCs w:val="22"/>
              </w:rPr>
            </w:pPr>
            <w:r w:rsidRPr="00EF1DC1">
              <w:rPr>
                <w:color w:val="000000"/>
                <w:sz w:val="22"/>
                <w:szCs w:val="22"/>
              </w:rPr>
              <w:t>-</w:t>
            </w:r>
            <w:r w:rsidR="00D8759D" w:rsidRPr="00EF1DC1">
              <w:rPr>
                <w:color w:val="000000"/>
                <w:sz w:val="22"/>
                <w:szCs w:val="22"/>
              </w:rPr>
              <w:t>8.</w:t>
            </w:r>
            <w:r w:rsidR="006344DD" w:rsidRPr="00EF1DC1">
              <w:rPr>
                <w:color w:val="000000"/>
                <w:sz w:val="22"/>
                <w:szCs w:val="22"/>
              </w:rPr>
              <w:t>4</w:t>
            </w:r>
          </w:p>
        </w:tc>
        <w:tc>
          <w:tcPr>
            <w:tcW w:w="1300" w:type="dxa"/>
            <w:tcBorders>
              <w:top w:val="nil"/>
              <w:left w:val="nil"/>
              <w:bottom w:val="nil"/>
              <w:right w:val="nil"/>
            </w:tcBorders>
            <w:noWrap/>
            <w:vAlign w:val="center"/>
            <w:hideMark/>
          </w:tcPr>
          <w:p w14:paraId="7924EC03" w14:textId="77777777" w:rsidR="00031CCE" w:rsidRPr="00EF1DC1" w:rsidRDefault="00031CCE" w:rsidP="00031CCE">
            <w:pPr>
              <w:jc w:val="center"/>
              <w:rPr>
                <w:b/>
                <w:bCs/>
                <w:color w:val="000000"/>
                <w:sz w:val="22"/>
                <w:szCs w:val="22"/>
              </w:rPr>
            </w:pPr>
            <w:r w:rsidRPr="00EF1DC1">
              <w:rPr>
                <w:b/>
                <w:bCs/>
                <w:color w:val="000000"/>
                <w:sz w:val="22"/>
                <w:szCs w:val="22"/>
              </w:rPr>
              <w:t>&lt;0.001</w:t>
            </w:r>
          </w:p>
        </w:tc>
      </w:tr>
      <w:tr w:rsidR="00031CCE" w:rsidRPr="00EF1DC1" w14:paraId="506ADE09" w14:textId="77777777" w:rsidTr="00031CCE">
        <w:trPr>
          <w:trHeight w:val="320"/>
        </w:trPr>
        <w:tc>
          <w:tcPr>
            <w:tcW w:w="2720" w:type="dxa"/>
            <w:tcBorders>
              <w:top w:val="nil"/>
              <w:left w:val="nil"/>
              <w:bottom w:val="nil"/>
              <w:right w:val="nil"/>
            </w:tcBorders>
            <w:noWrap/>
            <w:vAlign w:val="bottom"/>
            <w:hideMark/>
          </w:tcPr>
          <w:p w14:paraId="62741FEC" w14:textId="77777777" w:rsidR="00031CCE" w:rsidRPr="00EF1DC1" w:rsidRDefault="00031CCE" w:rsidP="00031CCE">
            <w:pPr>
              <w:rPr>
                <w:color w:val="000000"/>
                <w:sz w:val="22"/>
                <w:szCs w:val="22"/>
              </w:rPr>
            </w:pPr>
            <w:r w:rsidRPr="00EF1DC1">
              <w:rPr>
                <w:color w:val="000000"/>
                <w:sz w:val="22"/>
                <w:szCs w:val="22"/>
              </w:rPr>
              <w:t>log</w:t>
            </w:r>
            <w:r w:rsidRPr="00EF1DC1">
              <w:rPr>
                <w:color w:val="000000"/>
                <w:sz w:val="22"/>
                <w:szCs w:val="22"/>
                <w:vertAlign w:val="subscript"/>
              </w:rPr>
              <w:t>10</w:t>
            </w:r>
            <w:r w:rsidRPr="00EF1DC1">
              <w:rPr>
                <w:color w:val="000000"/>
                <w:sz w:val="22"/>
                <w:szCs w:val="22"/>
              </w:rPr>
              <w:t>(Sr/Ca)</w:t>
            </w:r>
          </w:p>
        </w:tc>
        <w:tc>
          <w:tcPr>
            <w:tcW w:w="1300" w:type="dxa"/>
            <w:tcBorders>
              <w:top w:val="nil"/>
              <w:left w:val="nil"/>
              <w:bottom w:val="nil"/>
              <w:right w:val="nil"/>
            </w:tcBorders>
            <w:noWrap/>
            <w:vAlign w:val="center"/>
            <w:hideMark/>
          </w:tcPr>
          <w:p w14:paraId="1BF98BE2" w14:textId="37453700" w:rsidR="00031CCE" w:rsidRPr="00EF1DC1" w:rsidRDefault="00D8759D" w:rsidP="00031CCE">
            <w:pPr>
              <w:jc w:val="center"/>
              <w:rPr>
                <w:color w:val="000000"/>
                <w:sz w:val="22"/>
                <w:szCs w:val="22"/>
              </w:rPr>
            </w:pPr>
            <w:r w:rsidRPr="00EF1DC1">
              <w:rPr>
                <w:color w:val="000000"/>
                <w:sz w:val="22"/>
                <w:szCs w:val="22"/>
              </w:rPr>
              <w:t>3.</w:t>
            </w:r>
            <w:r w:rsidR="006344DD" w:rsidRPr="00EF1DC1">
              <w:rPr>
                <w:color w:val="000000"/>
                <w:sz w:val="22"/>
                <w:szCs w:val="22"/>
              </w:rPr>
              <w:t>2</w:t>
            </w:r>
          </w:p>
        </w:tc>
        <w:tc>
          <w:tcPr>
            <w:tcW w:w="1300" w:type="dxa"/>
            <w:tcBorders>
              <w:top w:val="nil"/>
              <w:left w:val="nil"/>
              <w:bottom w:val="nil"/>
              <w:right w:val="nil"/>
            </w:tcBorders>
            <w:noWrap/>
            <w:vAlign w:val="bottom"/>
            <w:hideMark/>
          </w:tcPr>
          <w:p w14:paraId="4F782D33" w14:textId="6F8D53F3" w:rsidR="00031CCE" w:rsidRPr="00EF1DC1" w:rsidRDefault="00031CCE" w:rsidP="00031CCE">
            <w:pPr>
              <w:jc w:val="center"/>
              <w:rPr>
                <w:color w:val="000000"/>
                <w:sz w:val="22"/>
                <w:szCs w:val="22"/>
              </w:rPr>
            </w:pPr>
            <w:r w:rsidRPr="00EF1DC1">
              <w:rPr>
                <w:color w:val="000000"/>
                <w:sz w:val="22"/>
                <w:szCs w:val="22"/>
              </w:rPr>
              <w:t>0.</w:t>
            </w:r>
            <w:r w:rsidR="006344DD" w:rsidRPr="00EF1DC1">
              <w:rPr>
                <w:color w:val="000000"/>
                <w:sz w:val="22"/>
                <w:szCs w:val="22"/>
              </w:rPr>
              <w:t>338</w:t>
            </w:r>
          </w:p>
        </w:tc>
      </w:tr>
      <w:tr w:rsidR="00031CCE" w:rsidRPr="00EF1DC1" w14:paraId="7CDFD447" w14:textId="77777777" w:rsidTr="00031CCE">
        <w:trPr>
          <w:trHeight w:val="320"/>
        </w:trPr>
        <w:tc>
          <w:tcPr>
            <w:tcW w:w="2720" w:type="dxa"/>
            <w:tcBorders>
              <w:top w:val="nil"/>
              <w:left w:val="nil"/>
              <w:bottom w:val="nil"/>
              <w:right w:val="nil"/>
            </w:tcBorders>
            <w:noWrap/>
            <w:vAlign w:val="bottom"/>
            <w:hideMark/>
          </w:tcPr>
          <w:p w14:paraId="2ED4D750" w14:textId="77777777" w:rsidR="00031CCE" w:rsidRPr="00EF1DC1" w:rsidRDefault="00031CCE" w:rsidP="00031CCE">
            <w:pPr>
              <w:rPr>
                <w:color w:val="000000"/>
                <w:sz w:val="22"/>
                <w:szCs w:val="22"/>
              </w:rPr>
            </w:pPr>
            <w:r w:rsidRPr="00EF1DC1">
              <w:rPr>
                <w:color w:val="000000"/>
                <w:sz w:val="22"/>
                <w:szCs w:val="22"/>
              </w:rPr>
              <w:t>log</w:t>
            </w:r>
            <w:r w:rsidRPr="00EF1DC1">
              <w:rPr>
                <w:color w:val="000000"/>
                <w:sz w:val="22"/>
                <w:szCs w:val="22"/>
                <w:vertAlign w:val="subscript"/>
              </w:rPr>
              <w:t>10</w:t>
            </w:r>
            <w:r w:rsidRPr="00EF1DC1">
              <w:rPr>
                <w:color w:val="000000"/>
                <w:sz w:val="22"/>
                <w:szCs w:val="22"/>
              </w:rPr>
              <w:t>(Li/Ca)</w:t>
            </w:r>
          </w:p>
        </w:tc>
        <w:tc>
          <w:tcPr>
            <w:tcW w:w="1300" w:type="dxa"/>
            <w:tcBorders>
              <w:top w:val="nil"/>
              <w:left w:val="nil"/>
              <w:bottom w:val="nil"/>
              <w:right w:val="nil"/>
            </w:tcBorders>
            <w:noWrap/>
            <w:vAlign w:val="center"/>
            <w:hideMark/>
          </w:tcPr>
          <w:p w14:paraId="3654DBF3" w14:textId="5C9429B6" w:rsidR="00031CCE" w:rsidRPr="00EF1DC1" w:rsidRDefault="00D8759D" w:rsidP="00031CCE">
            <w:pPr>
              <w:jc w:val="center"/>
              <w:rPr>
                <w:color w:val="000000"/>
                <w:sz w:val="22"/>
                <w:szCs w:val="22"/>
              </w:rPr>
            </w:pPr>
            <w:r w:rsidRPr="00EF1DC1">
              <w:rPr>
                <w:color w:val="000000"/>
                <w:sz w:val="22"/>
                <w:szCs w:val="22"/>
              </w:rPr>
              <w:t>3.</w:t>
            </w:r>
            <w:r w:rsidR="006344DD" w:rsidRPr="00EF1DC1">
              <w:rPr>
                <w:color w:val="000000"/>
                <w:sz w:val="22"/>
                <w:szCs w:val="22"/>
              </w:rPr>
              <w:t>4</w:t>
            </w:r>
          </w:p>
        </w:tc>
        <w:tc>
          <w:tcPr>
            <w:tcW w:w="1300" w:type="dxa"/>
            <w:tcBorders>
              <w:top w:val="nil"/>
              <w:left w:val="nil"/>
              <w:bottom w:val="nil"/>
              <w:right w:val="nil"/>
            </w:tcBorders>
            <w:noWrap/>
            <w:vAlign w:val="bottom"/>
            <w:hideMark/>
          </w:tcPr>
          <w:p w14:paraId="7086C27B" w14:textId="74C5406A" w:rsidR="00031CCE" w:rsidRPr="00EF1DC1" w:rsidRDefault="00031CCE" w:rsidP="00031CCE">
            <w:pPr>
              <w:jc w:val="center"/>
              <w:rPr>
                <w:color w:val="000000"/>
                <w:sz w:val="22"/>
                <w:szCs w:val="22"/>
              </w:rPr>
            </w:pPr>
            <w:r w:rsidRPr="00EF1DC1">
              <w:rPr>
                <w:color w:val="000000"/>
                <w:sz w:val="22"/>
                <w:szCs w:val="22"/>
              </w:rPr>
              <w:t>0.</w:t>
            </w:r>
            <w:r w:rsidR="006344DD" w:rsidRPr="00EF1DC1">
              <w:rPr>
                <w:color w:val="000000"/>
                <w:sz w:val="22"/>
                <w:szCs w:val="22"/>
              </w:rPr>
              <w:t>251</w:t>
            </w:r>
          </w:p>
        </w:tc>
      </w:tr>
      <w:tr w:rsidR="00031CCE" w:rsidRPr="00EF1DC1" w14:paraId="4F33D470" w14:textId="77777777" w:rsidTr="00D8759D">
        <w:trPr>
          <w:trHeight w:val="320"/>
        </w:trPr>
        <w:tc>
          <w:tcPr>
            <w:tcW w:w="2720" w:type="dxa"/>
            <w:tcBorders>
              <w:top w:val="nil"/>
              <w:left w:val="nil"/>
              <w:bottom w:val="nil"/>
              <w:right w:val="nil"/>
            </w:tcBorders>
            <w:noWrap/>
            <w:vAlign w:val="bottom"/>
            <w:hideMark/>
          </w:tcPr>
          <w:p w14:paraId="31DFA1B4" w14:textId="77777777" w:rsidR="00031CCE" w:rsidRPr="00EF1DC1" w:rsidRDefault="00031CCE" w:rsidP="00031CCE">
            <w:pPr>
              <w:rPr>
                <w:color w:val="000000"/>
                <w:sz w:val="22"/>
                <w:szCs w:val="22"/>
              </w:rPr>
            </w:pPr>
            <w:r w:rsidRPr="00EF1DC1">
              <w:rPr>
                <w:color w:val="000000"/>
                <w:sz w:val="22"/>
                <w:szCs w:val="22"/>
              </w:rPr>
              <w:t>log</w:t>
            </w:r>
            <w:r w:rsidRPr="00EF1DC1">
              <w:rPr>
                <w:color w:val="000000"/>
                <w:sz w:val="22"/>
                <w:szCs w:val="22"/>
                <w:vertAlign w:val="subscript"/>
              </w:rPr>
              <w:t>10</w:t>
            </w:r>
            <w:r w:rsidRPr="00EF1DC1">
              <w:rPr>
                <w:color w:val="000000"/>
                <w:sz w:val="22"/>
                <w:szCs w:val="22"/>
              </w:rPr>
              <w:t>(Mg/Ca)</w:t>
            </w:r>
          </w:p>
        </w:tc>
        <w:tc>
          <w:tcPr>
            <w:tcW w:w="1300" w:type="dxa"/>
            <w:tcBorders>
              <w:top w:val="nil"/>
              <w:left w:val="nil"/>
              <w:bottom w:val="nil"/>
              <w:right w:val="nil"/>
            </w:tcBorders>
            <w:noWrap/>
            <w:vAlign w:val="center"/>
            <w:hideMark/>
          </w:tcPr>
          <w:p w14:paraId="6B4B3E3F" w14:textId="1811B001" w:rsidR="00031CCE" w:rsidRPr="00EF1DC1" w:rsidRDefault="00031CCE" w:rsidP="00031CCE">
            <w:pPr>
              <w:jc w:val="center"/>
              <w:rPr>
                <w:color w:val="000000"/>
                <w:sz w:val="22"/>
                <w:szCs w:val="22"/>
              </w:rPr>
            </w:pPr>
            <w:r w:rsidRPr="00EF1DC1">
              <w:rPr>
                <w:color w:val="000000"/>
                <w:sz w:val="22"/>
                <w:szCs w:val="22"/>
              </w:rPr>
              <w:t>-</w:t>
            </w:r>
            <w:r w:rsidR="00D8759D" w:rsidRPr="00EF1DC1">
              <w:rPr>
                <w:color w:val="000000"/>
                <w:sz w:val="22"/>
                <w:szCs w:val="22"/>
              </w:rPr>
              <w:t>2.</w:t>
            </w:r>
            <w:r w:rsidR="006344DD" w:rsidRPr="00EF1DC1">
              <w:rPr>
                <w:color w:val="000000"/>
                <w:sz w:val="22"/>
                <w:szCs w:val="22"/>
              </w:rPr>
              <w:t>6</w:t>
            </w:r>
          </w:p>
        </w:tc>
        <w:tc>
          <w:tcPr>
            <w:tcW w:w="1300" w:type="dxa"/>
            <w:tcBorders>
              <w:top w:val="nil"/>
              <w:left w:val="nil"/>
              <w:bottom w:val="nil"/>
              <w:right w:val="nil"/>
            </w:tcBorders>
            <w:noWrap/>
            <w:vAlign w:val="bottom"/>
            <w:hideMark/>
          </w:tcPr>
          <w:p w14:paraId="409FD825" w14:textId="1D542BB8" w:rsidR="00031CCE" w:rsidRPr="00EF1DC1" w:rsidRDefault="00031CCE" w:rsidP="00031CCE">
            <w:pPr>
              <w:jc w:val="center"/>
              <w:rPr>
                <w:color w:val="000000"/>
                <w:sz w:val="22"/>
                <w:szCs w:val="22"/>
              </w:rPr>
            </w:pPr>
            <w:r w:rsidRPr="00EF1DC1">
              <w:rPr>
                <w:color w:val="000000"/>
                <w:sz w:val="22"/>
                <w:szCs w:val="22"/>
              </w:rPr>
              <w:t>0.</w:t>
            </w:r>
            <w:r w:rsidR="00D8759D" w:rsidRPr="00EF1DC1">
              <w:rPr>
                <w:color w:val="000000"/>
                <w:sz w:val="22"/>
                <w:szCs w:val="22"/>
              </w:rPr>
              <w:t>0</w:t>
            </w:r>
            <w:r w:rsidR="006344DD" w:rsidRPr="00EF1DC1">
              <w:rPr>
                <w:color w:val="000000"/>
                <w:sz w:val="22"/>
                <w:szCs w:val="22"/>
              </w:rPr>
              <w:t>97</w:t>
            </w:r>
          </w:p>
        </w:tc>
      </w:tr>
      <w:tr w:rsidR="00D8759D" w:rsidRPr="00EF1DC1" w14:paraId="14D7500C" w14:textId="77777777" w:rsidTr="00031CCE">
        <w:trPr>
          <w:trHeight w:val="320"/>
        </w:trPr>
        <w:tc>
          <w:tcPr>
            <w:tcW w:w="2720" w:type="dxa"/>
            <w:tcBorders>
              <w:top w:val="nil"/>
              <w:left w:val="nil"/>
              <w:bottom w:val="single" w:sz="4" w:space="0" w:color="auto"/>
              <w:right w:val="nil"/>
            </w:tcBorders>
            <w:noWrap/>
            <w:vAlign w:val="bottom"/>
          </w:tcPr>
          <w:p w14:paraId="4C8FC396" w14:textId="09AC338F" w:rsidR="00D8759D" w:rsidRPr="00EF1DC1" w:rsidRDefault="00D8759D" w:rsidP="00031CCE">
            <w:pPr>
              <w:rPr>
                <w:color w:val="000000"/>
                <w:sz w:val="22"/>
                <w:szCs w:val="22"/>
              </w:rPr>
            </w:pPr>
            <w:r w:rsidRPr="00EF1DC1">
              <w:rPr>
                <w:color w:val="000000"/>
                <w:sz w:val="22"/>
                <w:szCs w:val="22"/>
              </w:rPr>
              <w:t>log</w:t>
            </w:r>
            <w:r w:rsidRPr="00EF1DC1">
              <w:rPr>
                <w:color w:val="000000"/>
                <w:sz w:val="22"/>
                <w:szCs w:val="22"/>
                <w:vertAlign w:val="subscript"/>
              </w:rPr>
              <w:t>10</w:t>
            </w:r>
            <w:r w:rsidRPr="00EF1DC1">
              <w:rPr>
                <w:color w:val="000000"/>
                <w:sz w:val="22"/>
                <w:szCs w:val="22"/>
              </w:rPr>
              <w:t>(Mn/Sr)</w:t>
            </w:r>
          </w:p>
        </w:tc>
        <w:tc>
          <w:tcPr>
            <w:tcW w:w="1300" w:type="dxa"/>
            <w:tcBorders>
              <w:top w:val="nil"/>
              <w:left w:val="nil"/>
              <w:bottom w:val="single" w:sz="4" w:space="0" w:color="auto"/>
              <w:right w:val="nil"/>
            </w:tcBorders>
            <w:noWrap/>
            <w:vAlign w:val="center"/>
          </w:tcPr>
          <w:p w14:paraId="424F4256" w14:textId="665D62F7" w:rsidR="00D8759D" w:rsidRPr="00EF1DC1" w:rsidRDefault="006344DD" w:rsidP="00031CCE">
            <w:pPr>
              <w:jc w:val="center"/>
              <w:rPr>
                <w:color w:val="000000"/>
                <w:sz w:val="22"/>
                <w:szCs w:val="22"/>
              </w:rPr>
            </w:pPr>
            <w:r w:rsidRPr="00EF1DC1">
              <w:rPr>
                <w:color w:val="000000"/>
                <w:sz w:val="22"/>
                <w:szCs w:val="22"/>
              </w:rPr>
              <w:t>2.6</w:t>
            </w:r>
          </w:p>
        </w:tc>
        <w:tc>
          <w:tcPr>
            <w:tcW w:w="1300" w:type="dxa"/>
            <w:tcBorders>
              <w:top w:val="nil"/>
              <w:left w:val="nil"/>
              <w:bottom w:val="single" w:sz="4" w:space="0" w:color="auto"/>
              <w:right w:val="nil"/>
            </w:tcBorders>
            <w:noWrap/>
            <w:vAlign w:val="bottom"/>
          </w:tcPr>
          <w:p w14:paraId="75B0A5D8" w14:textId="5B2DFA86" w:rsidR="00D8759D" w:rsidRPr="00EF1DC1" w:rsidRDefault="00D8759D" w:rsidP="00031CCE">
            <w:pPr>
              <w:jc w:val="center"/>
              <w:rPr>
                <w:color w:val="000000"/>
                <w:sz w:val="22"/>
                <w:szCs w:val="22"/>
              </w:rPr>
            </w:pPr>
            <w:r w:rsidRPr="00EF1DC1">
              <w:rPr>
                <w:color w:val="000000"/>
                <w:sz w:val="22"/>
                <w:szCs w:val="22"/>
              </w:rPr>
              <w:t>0.</w:t>
            </w:r>
            <w:r w:rsidR="006344DD" w:rsidRPr="00EF1DC1">
              <w:rPr>
                <w:color w:val="000000"/>
                <w:sz w:val="22"/>
                <w:szCs w:val="22"/>
              </w:rPr>
              <w:t>144</w:t>
            </w:r>
          </w:p>
        </w:tc>
      </w:tr>
    </w:tbl>
    <w:p w14:paraId="0FFD6A45" w14:textId="77777777" w:rsidR="003E41AA" w:rsidRPr="00EF1DC1" w:rsidRDefault="003E41AA">
      <w:pPr>
        <w:rPr>
          <w:sz w:val="22"/>
          <w:szCs w:val="22"/>
        </w:rPr>
      </w:pPr>
    </w:p>
    <w:p w14:paraId="19ECD1E6" w14:textId="77777777" w:rsidR="00D911F4" w:rsidRPr="00EF1DC1" w:rsidRDefault="00D911F4">
      <w:pPr>
        <w:rPr>
          <w:sz w:val="22"/>
          <w:szCs w:val="22"/>
        </w:rPr>
      </w:pPr>
    </w:p>
    <w:p w14:paraId="179B74AA" w14:textId="36E500F4" w:rsidR="003E41AA" w:rsidRPr="00EF1DC1" w:rsidRDefault="003E41AA" w:rsidP="00D911F4">
      <w:pPr>
        <w:rPr>
          <w:b/>
          <w:bCs/>
          <w:i/>
          <w:iCs/>
          <w:sz w:val="22"/>
          <w:szCs w:val="22"/>
        </w:rPr>
      </w:pPr>
      <w:r w:rsidRPr="00EF1DC1">
        <w:rPr>
          <w:b/>
          <w:bCs/>
          <w:i/>
          <w:iCs/>
          <w:sz w:val="22"/>
          <w:szCs w:val="22"/>
        </w:rPr>
        <w:t>Table S</w:t>
      </w:r>
      <w:r w:rsidR="00D911F4" w:rsidRPr="00EF1DC1">
        <w:rPr>
          <w:b/>
          <w:bCs/>
          <w:i/>
          <w:iCs/>
          <w:sz w:val="22"/>
          <w:szCs w:val="22"/>
        </w:rPr>
        <w:t>6</w:t>
      </w:r>
      <w:r w:rsidRPr="00EF1DC1">
        <w:rPr>
          <w:b/>
          <w:bCs/>
          <w:i/>
          <w:iCs/>
          <w:sz w:val="22"/>
          <w:szCs w:val="22"/>
        </w:rPr>
        <w:t>. ANOVA results comparing</w:t>
      </w:r>
      <w:r w:rsidRPr="00EF1DC1">
        <w:rPr>
          <w:b/>
          <w:bCs/>
          <w:sz w:val="22"/>
          <w:szCs w:val="22"/>
        </w:rPr>
        <w:t xml:space="preserve"> </w:t>
      </w:r>
      <w:r w:rsidRPr="00EF1DC1">
        <w:rPr>
          <w:b/>
          <w:bCs/>
          <w:i/>
          <w:iCs/>
          <w:color w:val="000000"/>
          <w:sz w:val="22"/>
          <w:szCs w:val="22"/>
        </w:rPr>
        <w:t>δ</w:t>
      </w:r>
      <w:r w:rsidRPr="00EF1DC1">
        <w:rPr>
          <w:b/>
          <w:bCs/>
          <w:i/>
          <w:iCs/>
          <w:color w:val="000000"/>
          <w:sz w:val="22"/>
          <w:szCs w:val="22"/>
          <w:vertAlign w:val="superscript"/>
        </w:rPr>
        <w:t>7</w:t>
      </w:r>
      <w:r w:rsidRPr="00EF1DC1">
        <w:rPr>
          <w:b/>
          <w:bCs/>
          <w:i/>
          <w:iCs/>
          <w:color w:val="000000"/>
          <w:sz w:val="22"/>
          <w:szCs w:val="22"/>
        </w:rPr>
        <w:t>Li among sections.</w:t>
      </w:r>
      <w:r w:rsidRPr="00EF1DC1">
        <w:rPr>
          <w:color w:val="000000"/>
          <w:sz w:val="22"/>
          <w:szCs w:val="22"/>
        </w:rPr>
        <w:t xml:space="preserve"> Tukey-Kramer post-hoc test p-values are reported if the ANOVA indicated statistically significant differences among stratigraphic sections (</w:t>
      </w:r>
      <w:r w:rsidRPr="00EF1DC1">
        <w:rPr>
          <w:i/>
          <w:iCs/>
          <w:color w:val="000000"/>
          <w:sz w:val="22"/>
          <w:szCs w:val="22"/>
        </w:rPr>
        <w:t>i.e.</w:t>
      </w:r>
      <w:r w:rsidRPr="00EF1DC1">
        <w:rPr>
          <w:color w:val="000000"/>
          <w:sz w:val="22"/>
          <w:szCs w:val="22"/>
        </w:rPr>
        <w:t xml:space="preserve">, ANOVA </w:t>
      </w:r>
      <w:r w:rsidRPr="00EF1DC1">
        <w:rPr>
          <w:i/>
          <w:iCs/>
          <w:color w:val="000000"/>
          <w:sz w:val="22"/>
          <w:szCs w:val="22"/>
        </w:rPr>
        <w:t>p</w:t>
      </w:r>
      <w:r w:rsidRPr="00EF1DC1">
        <w:rPr>
          <w:color w:val="000000"/>
          <w:sz w:val="22"/>
          <w:szCs w:val="22"/>
        </w:rPr>
        <w:t xml:space="preserve">-value &lt; 0.05). </w:t>
      </w:r>
      <w:r w:rsidR="00D911F4" w:rsidRPr="00EF1DC1">
        <w:rPr>
          <w:sz w:val="22"/>
          <w:szCs w:val="22"/>
        </w:rPr>
        <w:t>Significant relationships (</w:t>
      </w:r>
      <w:r w:rsidR="00D911F4" w:rsidRPr="00EF1DC1">
        <w:rPr>
          <w:rFonts w:ascii="Cambria Math" w:hAnsi="Cambria Math" w:cs="Cambria Math"/>
          <w:color w:val="000000"/>
          <w:sz w:val="22"/>
          <w:szCs w:val="22"/>
        </w:rPr>
        <w:t>𝛼</w:t>
      </w:r>
      <w:r w:rsidR="00D911F4" w:rsidRPr="00EF1DC1">
        <w:rPr>
          <w:sz w:val="22"/>
          <w:szCs w:val="22"/>
        </w:rPr>
        <w:t xml:space="preserve"> = 0.05) are bolded. </w:t>
      </w:r>
      <w:r w:rsidRPr="00EF1DC1">
        <w:rPr>
          <w:color w:val="000000"/>
          <w:sz w:val="22"/>
          <w:szCs w:val="22"/>
        </w:rPr>
        <w:t>Here, we compare the δ</w:t>
      </w:r>
      <w:r w:rsidRPr="00EF1DC1">
        <w:rPr>
          <w:color w:val="000000"/>
          <w:sz w:val="22"/>
          <w:szCs w:val="22"/>
          <w:vertAlign w:val="superscript"/>
        </w:rPr>
        <w:t>7</w:t>
      </w:r>
      <w:r w:rsidRPr="00EF1DC1">
        <w:rPr>
          <w:color w:val="000000"/>
          <w:sz w:val="22"/>
          <w:szCs w:val="22"/>
        </w:rPr>
        <w:t>Li from South China (</w:t>
      </w:r>
      <w:proofErr w:type="spellStart"/>
      <w:r w:rsidRPr="00EF1DC1">
        <w:rPr>
          <w:color w:val="000000"/>
          <w:sz w:val="22"/>
          <w:szCs w:val="22"/>
        </w:rPr>
        <w:t>Shangsi</w:t>
      </w:r>
      <w:proofErr w:type="spellEnd"/>
      <w:r w:rsidRPr="00EF1DC1">
        <w:rPr>
          <w:color w:val="000000"/>
          <w:sz w:val="22"/>
          <w:szCs w:val="22"/>
        </w:rPr>
        <w:t xml:space="preserve"> and </w:t>
      </w:r>
      <w:proofErr w:type="spellStart"/>
      <w:r w:rsidRPr="00EF1DC1">
        <w:rPr>
          <w:color w:val="000000"/>
          <w:sz w:val="22"/>
          <w:szCs w:val="22"/>
        </w:rPr>
        <w:t>Shanggang</w:t>
      </w:r>
      <w:proofErr w:type="spellEnd"/>
      <w:r w:rsidRPr="00EF1DC1">
        <w:rPr>
          <w:color w:val="000000"/>
          <w:sz w:val="22"/>
          <w:szCs w:val="22"/>
        </w:rPr>
        <w:t xml:space="preserve">) separately but note that there are only 2 samples from </w:t>
      </w:r>
      <w:proofErr w:type="spellStart"/>
      <w:r w:rsidRPr="00EF1DC1">
        <w:rPr>
          <w:color w:val="000000"/>
          <w:sz w:val="22"/>
          <w:szCs w:val="22"/>
        </w:rPr>
        <w:t>Shangsi</w:t>
      </w:r>
      <w:proofErr w:type="spellEnd"/>
      <w:r w:rsidRPr="00EF1DC1">
        <w:rPr>
          <w:color w:val="000000"/>
          <w:sz w:val="22"/>
          <w:szCs w:val="22"/>
        </w:rPr>
        <w:t xml:space="preserve"> in the </w:t>
      </w:r>
      <w:proofErr w:type="spellStart"/>
      <w:r w:rsidRPr="00EF1DC1">
        <w:rPr>
          <w:color w:val="000000"/>
          <w:sz w:val="22"/>
          <w:szCs w:val="22"/>
        </w:rPr>
        <w:t>Changhsingian</w:t>
      </w:r>
      <w:proofErr w:type="spellEnd"/>
      <w:r w:rsidRPr="00EF1DC1">
        <w:rPr>
          <w:color w:val="000000"/>
          <w:sz w:val="22"/>
          <w:szCs w:val="22"/>
        </w:rPr>
        <w:t xml:space="preserve"> and 1 in the </w:t>
      </w:r>
      <w:proofErr w:type="spellStart"/>
      <w:r w:rsidRPr="00EF1DC1">
        <w:rPr>
          <w:color w:val="000000"/>
          <w:sz w:val="22"/>
          <w:szCs w:val="22"/>
        </w:rPr>
        <w:t>Induan</w:t>
      </w:r>
      <w:proofErr w:type="spellEnd"/>
      <w:r w:rsidRPr="00EF1DC1">
        <w:rPr>
          <w:color w:val="000000"/>
          <w:sz w:val="22"/>
          <w:szCs w:val="22"/>
        </w:rPr>
        <w:t xml:space="preserve"> (see Table 1).</w:t>
      </w:r>
    </w:p>
    <w:tbl>
      <w:tblPr>
        <w:tblW w:w="8059" w:type="dxa"/>
        <w:tblLook w:val="04A0" w:firstRow="1" w:lastRow="0" w:firstColumn="1" w:lastColumn="0" w:noHBand="0" w:noVBand="1"/>
      </w:tblPr>
      <w:tblGrid>
        <w:gridCol w:w="2440"/>
        <w:gridCol w:w="1560"/>
        <w:gridCol w:w="852"/>
        <w:gridCol w:w="1121"/>
        <w:gridCol w:w="2087"/>
      </w:tblGrid>
      <w:tr w:rsidR="003E41AA" w:rsidRPr="00EF1DC1" w14:paraId="03A301CF" w14:textId="77777777" w:rsidTr="008D112F">
        <w:trPr>
          <w:trHeight w:val="320"/>
        </w:trPr>
        <w:tc>
          <w:tcPr>
            <w:tcW w:w="2440" w:type="dxa"/>
            <w:tcBorders>
              <w:top w:val="single" w:sz="4" w:space="0" w:color="auto"/>
              <w:left w:val="nil"/>
              <w:bottom w:val="single" w:sz="4" w:space="0" w:color="auto"/>
              <w:right w:val="nil"/>
            </w:tcBorders>
            <w:noWrap/>
            <w:vAlign w:val="bottom"/>
            <w:hideMark/>
          </w:tcPr>
          <w:p w14:paraId="41D75EA5" w14:textId="77777777" w:rsidR="003E41AA" w:rsidRPr="00EF1DC1" w:rsidRDefault="003E41AA" w:rsidP="008D112F">
            <w:pPr>
              <w:rPr>
                <w:color w:val="000000"/>
                <w:sz w:val="22"/>
                <w:szCs w:val="22"/>
              </w:rPr>
            </w:pPr>
            <w:r w:rsidRPr="00EF1DC1">
              <w:rPr>
                <w:color w:val="000000"/>
                <w:sz w:val="22"/>
                <w:szCs w:val="22"/>
              </w:rPr>
              <w:t> </w:t>
            </w:r>
          </w:p>
        </w:tc>
        <w:tc>
          <w:tcPr>
            <w:tcW w:w="1560" w:type="dxa"/>
            <w:tcBorders>
              <w:top w:val="single" w:sz="4" w:space="0" w:color="auto"/>
              <w:left w:val="nil"/>
              <w:bottom w:val="single" w:sz="4" w:space="0" w:color="auto"/>
              <w:right w:val="nil"/>
            </w:tcBorders>
            <w:noWrap/>
            <w:vAlign w:val="bottom"/>
            <w:hideMark/>
          </w:tcPr>
          <w:p w14:paraId="7E56C551" w14:textId="77777777" w:rsidR="003E41AA" w:rsidRPr="00EF1DC1" w:rsidRDefault="003E41AA" w:rsidP="008D112F">
            <w:pPr>
              <w:rPr>
                <w:color w:val="000000"/>
                <w:sz w:val="22"/>
                <w:szCs w:val="22"/>
              </w:rPr>
            </w:pPr>
            <w:proofErr w:type="spellStart"/>
            <w:r w:rsidRPr="00EF1DC1">
              <w:rPr>
                <w:color w:val="000000"/>
                <w:sz w:val="22"/>
                <w:szCs w:val="22"/>
              </w:rPr>
              <w:t>Changhsingian</w:t>
            </w:r>
            <w:proofErr w:type="spellEnd"/>
          </w:p>
        </w:tc>
        <w:tc>
          <w:tcPr>
            <w:tcW w:w="852" w:type="dxa"/>
            <w:tcBorders>
              <w:top w:val="single" w:sz="4" w:space="0" w:color="auto"/>
              <w:left w:val="nil"/>
              <w:bottom w:val="single" w:sz="4" w:space="0" w:color="auto"/>
              <w:right w:val="nil"/>
            </w:tcBorders>
            <w:noWrap/>
            <w:vAlign w:val="bottom"/>
            <w:hideMark/>
          </w:tcPr>
          <w:p w14:paraId="61DCAB69" w14:textId="77777777" w:rsidR="003E41AA" w:rsidRPr="00EF1DC1" w:rsidRDefault="003E41AA" w:rsidP="008D112F">
            <w:pPr>
              <w:rPr>
                <w:color w:val="000000"/>
                <w:sz w:val="22"/>
                <w:szCs w:val="22"/>
              </w:rPr>
            </w:pPr>
            <w:proofErr w:type="spellStart"/>
            <w:r w:rsidRPr="00EF1DC1">
              <w:rPr>
                <w:color w:val="000000"/>
                <w:sz w:val="22"/>
                <w:szCs w:val="22"/>
              </w:rPr>
              <w:t>Induan</w:t>
            </w:r>
            <w:proofErr w:type="spellEnd"/>
          </w:p>
        </w:tc>
        <w:tc>
          <w:tcPr>
            <w:tcW w:w="1120" w:type="dxa"/>
            <w:tcBorders>
              <w:top w:val="single" w:sz="4" w:space="0" w:color="auto"/>
              <w:left w:val="nil"/>
              <w:bottom w:val="single" w:sz="4" w:space="0" w:color="auto"/>
              <w:right w:val="nil"/>
            </w:tcBorders>
            <w:noWrap/>
            <w:vAlign w:val="bottom"/>
            <w:hideMark/>
          </w:tcPr>
          <w:p w14:paraId="69A8C611" w14:textId="77777777" w:rsidR="003E41AA" w:rsidRPr="00EF1DC1" w:rsidRDefault="003E41AA" w:rsidP="008D112F">
            <w:pPr>
              <w:rPr>
                <w:color w:val="000000"/>
                <w:sz w:val="22"/>
                <w:szCs w:val="22"/>
              </w:rPr>
            </w:pPr>
            <w:proofErr w:type="spellStart"/>
            <w:r w:rsidRPr="00EF1DC1">
              <w:rPr>
                <w:color w:val="000000"/>
                <w:sz w:val="22"/>
                <w:szCs w:val="22"/>
              </w:rPr>
              <w:t>Olenekian</w:t>
            </w:r>
            <w:proofErr w:type="spellEnd"/>
          </w:p>
        </w:tc>
        <w:tc>
          <w:tcPr>
            <w:tcW w:w="2087" w:type="dxa"/>
            <w:tcBorders>
              <w:top w:val="single" w:sz="4" w:space="0" w:color="auto"/>
              <w:left w:val="nil"/>
              <w:bottom w:val="single" w:sz="4" w:space="0" w:color="auto"/>
              <w:right w:val="nil"/>
            </w:tcBorders>
            <w:noWrap/>
            <w:vAlign w:val="bottom"/>
            <w:hideMark/>
          </w:tcPr>
          <w:p w14:paraId="0AC35BBC" w14:textId="77777777" w:rsidR="003E41AA" w:rsidRPr="00EF1DC1" w:rsidRDefault="003E41AA" w:rsidP="008D112F">
            <w:pPr>
              <w:rPr>
                <w:color w:val="000000"/>
                <w:sz w:val="22"/>
                <w:szCs w:val="22"/>
              </w:rPr>
            </w:pPr>
            <w:r w:rsidRPr="00EF1DC1">
              <w:rPr>
                <w:color w:val="000000"/>
                <w:sz w:val="22"/>
                <w:szCs w:val="22"/>
              </w:rPr>
              <w:t>Middle-Late Triassic</w:t>
            </w:r>
          </w:p>
        </w:tc>
      </w:tr>
      <w:tr w:rsidR="003E41AA" w:rsidRPr="00EF1DC1" w14:paraId="5C31E0D0" w14:textId="77777777" w:rsidTr="008D112F">
        <w:trPr>
          <w:trHeight w:val="320"/>
        </w:trPr>
        <w:tc>
          <w:tcPr>
            <w:tcW w:w="2440" w:type="dxa"/>
            <w:tcBorders>
              <w:top w:val="nil"/>
              <w:left w:val="nil"/>
              <w:bottom w:val="single" w:sz="4" w:space="0" w:color="auto"/>
              <w:right w:val="nil"/>
            </w:tcBorders>
            <w:noWrap/>
            <w:vAlign w:val="bottom"/>
            <w:hideMark/>
          </w:tcPr>
          <w:p w14:paraId="1F8912C1" w14:textId="77777777" w:rsidR="003E41AA" w:rsidRPr="00EF1DC1" w:rsidRDefault="003E41AA" w:rsidP="008D112F">
            <w:pPr>
              <w:rPr>
                <w:color w:val="000000"/>
                <w:sz w:val="22"/>
                <w:szCs w:val="22"/>
              </w:rPr>
            </w:pPr>
            <w:r w:rsidRPr="00EF1DC1">
              <w:rPr>
                <w:color w:val="000000"/>
                <w:sz w:val="22"/>
                <w:szCs w:val="22"/>
              </w:rPr>
              <w:t xml:space="preserve">ANOVA </w:t>
            </w:r>
            <w:r w:rsidRPr="00EF1DC1">
              <w:rPr>
                <w:i/>
                <w:iCs/>
                <w:color w:val="000000"/>
                <w:sz w:val="22"/>
                <w:szCs w:val="22"/>
              </w:rPr>
              <w:t>p</w:t>
            </w:r>
            <w:r w:rsidRPr="00EF1DC1">
              <w:rPr>
                <w:color w:val="000000"/>
                <w:sz w:val="22"/>
                <w:szCs w:val="22"/>
              </w:rPr>
              <w:t>-value</w:t>
            </w:r>
          </w:p>
        </w:tc>
        <w:tc>
          <w:tcPr>
            <w:tcW w:w="1560" w:type="dxa"/>
            <w:tcBorders>
              <w:top w:val="nil"/>
              <w:left w:val="nil"/>
              <w:bottom w:val="single" w:sz="4" w:space="0" w:color="auto"/>
              <w:right w:val="nil"/>
            </w:tcBorders>
            <w:noWrap/>
            <w:vAlign w:val="center"/>
            <w:hideMark/>
          </w:tcPr>
          <w:p w14:paraId="68A14490" w14:textId="77777777" w:rsidR="003E41AA" w:rsidRPr="00EF1DC1" w:rsidRDefault="003E41AA" w:rsidP="008D112F">
            <w:pPr>
              <w:jc w:val="center"/>
              <w:rPr>
                <w:color w:val="000000"/>
                <w:sz w:val="22"/>
                <w:szCs w:val="22"/>
              </w:rPr>
            </w:pPr>
            <w:r w:rsidRPr="00EF1DC1">
              <w:rPr>
                <w:color w:val="000000"/>
                <w:sz w:val="22"/>
                <w:szCs w:val="22"/>
              </w:rPr>
              <w:t>0.227</w:t>
            </w:r>
          </w:p>
        </w:tc>
        <w:tc>
          <w:tcPr>
            <w:tcW w:w="852" w:type="dxa"/>
            <w:tcBorders>
              <w:top w:val="nil"/>
              <w:left w:val="nil"/>
              <w:bottom w:val="single" w:sz="4" w:space="0" w:color="auto"/>
              <w:right w:val="nil"/>
            </w:tcBorders>
            <w:noWrap/>
            <w:vAlign w:val="center"/>
            <w:hideMark/>
          </w:tcPr>
          <w:p w14:paraId="0DD028F9" w14:textId="77777777" w:rsidR="003E41AA" w:rsidRPr="00EF1DC1" w:rsidRDefault="003E41AA" w:rsidP="008D112F">
            <w:pPr>
              <w:jc w:val="center"/>
              <w:rPr>
                <w:b/>
                <w:bCs/>
                <w:color w:val="000000"/>
                <w:sz w:val="22"/>
                <w:szCs w:val="22"/>
              </w:rPr>
            </w:pPr>
            <w:r w:rsidRPr="00EF1DC1">
              <w:rPr>
                <w:b/>
                <w:bCs/>
                <w:color w:val="000000"/>
                <w:sz w:val="22"/>
                <w:szCs w:val="22"/>
              </w:rPr>
              <w:t>&lt;0.001</w:t>
            </w:r>
          </w:p>
        </w:tc>
        <w:tc>
          <w:tcPr>
            <w:tcW w:w="1120" w:type="dxa"/>
            <w:tcBorders>
              <w:top w:val="nil"/>
              <w:left w:val="nil"/>
              <w:bottom w:val="single" w:sz="4" w:space="0" w:color="auto"/>
              <w:right w:val="nil"/>
            </w:tcBorders>
            <w:noWrap/>
            <w:vAlign w:val="center"/>
            <w:hideMark/>
          </w:tcPr>
          <w:p w14:paraId="05C09813" w14:textId="77777777" w:rsidR="003E41AA" w:rsidRPr="00EF1DC1" w:rsidRDefault="003E41AA" w:rsidP="008D112F">
            <w:pPr>
              <w:jc w:val="center"/>
              <w:rPr>
                <w:b/>
                <w:bCs/>
                <w:color w:val="000000"/>
                <w:sz w:val="22"/>
                <w:szCs w:val="22"/>
              </w:rPr>
            </w:pPr>
            <w:r w:rsidRPr="00EF1DC1">
              <w:rPr>
                <w:b/>
                <w:bCs/>
                <w:color w:val="000000"/>
                <w:sz w:val="22"/>
                <w:szCs w:val="22"/>
              </w:rPr>
              <w:t>0.005</w:t>
            </w:r>
          </w:p>
        </w:tc>
        <w:tc>
          <w:tcPr>
            <w:tcW w:w="2087" w:type="dxa"/>
            <w:tcBorders>
              <w:top w:val="nil"/>
              <w:left w:val="nil"/>
              <w:bottom w:val="single" w:sz="4" w:space="0" w:color="auto"/>
              <w:right w:val="nil"/>
            </w:tcBorders>
            <w:noWrap/>
            <w:vAlign w:val="center"/>
            <w:hideMark/>
          </w:tcPr>
          <w:p w14:paraId="4896CC8C" w14:textId="77777777" w:rsidR="003E41AA" w:rsidRPr="00EF1DC1" w:rsidRDefault="003E41AA" w:rsidP="008D112F">
            <w:pPr>
              <w:jc w:val="center"/>
              <w:rPr>
                <w:b/>
                <w:bCs/>
                <w:color w:val="000000"/>
                <w:sz w:val="22"/>
                <w:szCs w:val="22"/>
              </w:rPr>
            </w:pPr>
            <w:r w:rsidRPr="00EF1DC1">
              <w:rPr>
                <w:b/>
                <w:bCs/>
                <w:color w:val="000000"/>
                <w:sz w:val="22"/>
                <w:szCs w:val="22"/>
              </w:rPr>
              <w:t>0.024</w:t>
            </w:r>
          </w:p>
        </w:tc>
      </w:tr>
      <w:tr w:rsidR="003E41AA" w:rsidRPr="00EF1DC1" w14:paraId="7E0DA2C4" w14:textId="77777777" w:rsidTr="008D112F">
        <w:trPr>
          <w:trHeight w:val="320"/>
        </w:trPr>
        <w:tc>
          <w:tcPr>
            <w:tcW w:w="4000" w:type="dxa"/>
            <w:gridSpan w:val="2"/>
            <w:tcBorders>
              <w:top w:val="single" w:sz="4" w:space="0" w:color="auto"/>
              <w:left w:val="nil"/>
              <w:bottom w:val="nil"/>
              <w:right w:val="nil"/>
            </w:tcBorders>
            <w:noWrap/>
            <w:vAlign w:val="bottom"/>
            <w:hideMark/>
          </w:tcPr>
          <w:p w14:paraId="008A701F" w14:textId="77777777" w:rsidR="003E41AA" w:rsidRPr="00EF1DC1" w:rsidRDefault="003E41AA" w:rsidP="008D112F">
            <w:pPr>
              <w:rPr>
                <w:color w:val="000000"/>
                <w:sz w:val="22"/>
                <w:szCs w:val="22"/>
              </w:rPr>
            </w:pPr>
            <w:r w:rsidRPr="00EF1DC1">
              <w:rPr>
                <w:color w:val="000000"/>
                <w:sz w:val="22"/>
                <w:szCs w:val="22"/>
              </w:rPr>
              <w:t xml:space="preserve">Tukey-Kramer post-hoc test </w:t>
            </w:r>
            <w:r w:rsidRPr="00EF1DC1">
              <w:rPr>
                <w:i/>
                <w:iCs/>
                <w:color w:val="000000"/>
                <w:sz w:val="22"/>
                <w:szCs w:val="22"/>
              </w:rPr>
              <w:t>p</w:t>
            </w:r>
            <w:r w:rsidRPr="00EF1DC1">
              <w:rPr>
                <w:color w:val="000000"/>
                <w:sz w:val="22"/>
                <w:szCs w:val="22"/>
              </w:rPr>
              <w:t>-value</w:t>
            </w:r>
          </w:p>
        </w:tc>
        <w:tc>
          <w:tcPr>
            <w:tcW w:w="852" w:type="dxa"/>
            <w:tcBorders>
              <w:top w:val="nil"/>
              <w:left w:val="nil"/>
              <w:bottom w:val="nil"/>
              <w:right w:val="nil"/>
            </w:tcBorders>
            <w:noWrap/>
            <w:vAlign w:val="center"/>
            <w:hideMark/>
          </w:tcPr>
          <w:p w14:paraId="59FBFF98" w14:textId="77777777" w:rsidR="003E41AA" w:rsidRPr="00EF1DC1" w:rsidRDefault="003E41AA" w:rsidP="008D112F">
            <w:pPr>
              <w:jc w:val="center"/>
              <w:rPr>
                <w:color w:val="000000"/>
                <w:sz w:val="22"/>
                <w:szCs w:val="22"/>
              </w:rPr>
            </w:pPr>
            <w:r w:rsidRPr="00EF1DC1">
              <w:rPr>
                <w:color w:val="000000"/>
                <w:sz w:val="22"/>
                <w:szCs w:val="22"/>
              </w:rPr>
              <w:t> </w:t>
            </w:r>
          </w:p>
        </w:tc>
        <w:tc>
          <w:tcPr>
            <w:tcW w:w="1120" w:type="dxa"/>
            <w:tcBorders>
              <w:top w:val="nil"/>
              <w:left w:val="nil"/>
              <w:bottom w:val="nil"/>
              <w:right w:val="nil"/>
            </w:tcBorders>
            <w:noWrap/>
            <w:vAlign w:val="center"/>
            <w:hideMark/>
          </w:tcPr>
          <w:p w14:paraId="33895C1D" w14:textId="77777777" w:rsidR="003E41AA" w:rsidRPr="00EF1DC1" w:rsidRDefault="003E41AA" w:rsidP="008D112F">
            <w:pPr>
              <w:jc w:val="center"/>
              <w:rPr>
                <w:color w:val="000000"/>
                <w:sz w:val="22"/>
                <w:szCs w:val="22"/>
              </w:rPr>
            </w:pPr>
            <w:r w:rsidRPr="00EF1DC1">
              <w:rPr>
                <w:color w:val="000000"/>
                <w:sz w:val="22"/>
                <w:szCs w:val="22"/>
              </w:rPr>
              <w:t> </w:t>
            </w:r>
          </w:p>
        </w:tc>
        <w:tc>
          <w:tcPr>
            <w:tcW w:w="2087" w:type="dxa"/>
            <w:tcBorders>
              <w:top w:val="nil"/>
              <w:left w:val="nil"/>
              <w:bottom w:val="nil"/>
              <w:right w:val="nil"/>
            </w:tcBorders>
            <w:noWrap/>
            <w:vAlign w:val="center"/>
            <w:hideMark/>
          </w:tcPr>
          <w:p w14:paraId="379F8713" w14:textId="77777777" w:rsidR="003E41AA" w:rsidRPr="00EF1DC1" w:rsidRDefault="003E41AA" w:rsidP="008D112F">
            <w:pPr>
              <w:jc w:val="center"/>
              <w:rPr>
                <w:color w:val="000000"/>
                <w:sz w:val="22"/>
                <w:szCs w:val="22"/>
              </w:rPr>
            </w:pPr>
            <w:r w:rsidRPr="00EF1DC1">
              <w:rPr>
                <w:color w:val="000000"/>
                <w:sz w:val="22"/>
                <w:szCs w:val="22"/>
              </w:rPr>
              <w:t> </w:t>
            </w:r>
          </w:p>
        </w:tc>
      </w:tr>
      <w:tr w:rsidR="003E41AA" w:rsidRPr="00EF1DC1" w14:paraId="0F290867" w14:textId="77777777" w:rsidTr="008D112F">
        <w:trPr>
          <w:trHeight w:val="320"/>
        </w:trPr>
        <w:tc>
          <w:tcPr>
            <w:tcW w:w="2440" w:type="dxa"/>
            <w:tcBorders>
              <w:top w:val="nil"/>
              <w:left w:val="nil"/>
              <w:bottom w:val="nil"/>
              <w:right w:val="nil"/>
            </w:tcBorders>
            <w:noWrap/>
            <w:vAlign w:val="bottom"/>
            <w:hideMark/>
          </w:tcPr>
          <w:p w14:paraId="6C2A2240" w14:textId="77777777" w:rsidR="003E41AA" w:rsidRPr="00EF1DC1" w:rsidRDefault="003E41AA" w:rsidP="008D112F">
            <w:pPr>
              <w:rPr>
                <w:i/>
                <w:iCs/>
                <w:color w:val="000000"/>
                <w:sz w:val="22"/>
                <w:szCs w:val="22"/>
              </w:rPr>
            </w:pPr>
            <w:proofErr w:type="spellStart"/>
            <w:r w:rsidRPr="00EF1DC1">
              <w:rPr>
                <w:i/>
                <w:iCs/>
                <w:color w:val="000000"/>
                <w:sz w:val="22"/>
                <w:szCs w:val="22"/>
              </w:rPr>
              <w:t>Shangsi-Shanggang</w:t>
            </w:r>
            <w:proofErr w:type="spellEnd"/>
          </w:p>
        </w:tc>
        <w:tc>
          <w:tcPr>
            <w:tcW w:w="1560" w:type="dxa"/>
            <w:tcBorders>
              <w:top w:val="nil"/>
              <w:left w:val="nil"/>
              <w:bottom w:val="nil"/>
              <w:right w:val="nil"/>
            </w:tcBorders>
            <w:noWrap/>
            <w:vAlign w:val="center"/>
            <w:hideMark/>
          </w:tcPr>
          <w:p w14:paraId="2770E46B" w14:textId="77777777" w:rsidR="003E41AA" w:rsidRPr="00EF1DC1" w:rsidRDefault="003E41AA" w:rsidP="008D112F">
            <w:pPr>
              <w:jc w:val="center"/>
              <w:rPr>
                <w:color w:val="000000"/>
                <w:sz w:val="22"/>
                <w:szCs w:val="22"/>
              </w:rPr>
            </w:pPr>
            <w:r w:rsidRPr="00EF1DC1">
              <w:rPr>
                <w:color w:val="000000"/>
                <w:sz w:val="22"/>
                <w:szCs w:val="22"/>
              </w:rPr>
              <w:t>n/a</w:t>
            </w:r>
          </w:p>
        </w:tc>
        <w:tc>
          <w:tcPr>
            <w:tcW w:w="852" w:type="dxa"/>
            <w:tcBorders>
              <w:top w:val="nil"/>
              <w:left w:val="nil"/>
              <w:bottom w:val="nil"/>
              <w:right w:val="nil"/>
            </w:tcBorders>
            <w:noWrap/>
            <w:vAlign w:val="center"/>
            <w:hideMark/>
          </w:tcPr>
          <w:p w14:paraId="30F79764" w14:textId="77777777" w:rsidR="003E41AA" w:rsidRPr="00EF1DC1" w:rsidRDefault="003E41AA" w:rsidP="008D112F">
            <w:pPr>
              <w:jc w:val="center"/>
              <w:rPr>
                <w:color w:val="000000"/>
                <w:sz w:val="22"/>
                <w:szCs w:val="22"/>
              </w:rPr>
            </w:pPr>
            <w:r w:rsidRPr="00EF1DC1">
              <w:rPr>
                <w:color w:val="000000"/>
                <w:sz w:val="22"/>
                <w:szCs w:val="22"/>
              </w:rPr>
              <w:t>0.542</w:t>
            </w:r>
          </w:p>
        </w:tc>
        <w:tc>
          <w:tcPr>
            <w:tcW w:w="1120" w:type="dxa"/>
            <w:tcBorders>
              <w:top w:val="nil"/>
              <w:left w:val="nil"/>
              <w:bottom w:val="nil"/>
              <w:right w:val="nil"/>
            </w:tcBorders>
            <w:noWrap/>
            <w:vAlign w:val="center"/>
            <w:hideMark/>
          </w:tcPr>
          <w:p w14:paraId="2577ABD9" w14:textId="77777777" w:rsidR="003E41AA" w:rsidRPr="00EF1DC1" w:rsidRDefault="003E41AA" w:rsidP="008D112F">
            <w:pPr>
              <w:jc w:val="center"/>
              <w:rPr>
                <w:color w:val="000000"/>
                <w:sz w:val="22"/>
                <w:szCs w:val="22"/>
              </w:rPr>
            </w:pPr>
            <w:r w:rsidRPr="00EF1DC1">
              <w:rPr>
                <w:color w:val="000000"/>
                <w:sz w:val="22"/>
                <w:szCs w:val="22"/>
              </w:rPr>
              <w:t>n/a</w:t>
            </w:r>
          </w:p>
        </w:tc>
        <w:tc>
          <w:tcPr>
            <w:tcW w:w="2087" w:type="dxa"/>
            <w:tcBorders>
              <w:top w:val="nil"/>
              <w:left w:val="nil"/>
              <w:bottom w:val="nil"/>
              <w:right w:val="nil"/>
            </w:tcBorders>
            <w:noWrap/>
            <w:vAlign w:val="center"/>
            <w:hideMark/>
          </w:tcPr>
          <w:p w14:paraId="7B087979" w14:textId="77777777" w:rsidR="003E41AA" w:rsidRPr="00EF1DC1" w:rsidRDefault="003E41AA" w:rsidP="008D112F">
            <w:pPr>
              <w:jc w:val="center"/>
              <w:rPr>
                <w:color w:val="000000"/>
                <w:sz w:val="22"/>
                <w:szCs w:val="22"/>
              </w:rPr>
            </w:pPr>
            <w:r w:rsidRPr="00EF1DC1">
              <w:rPr>
                <w:color w:val="000000"/>
                <w:sz w:val="22"/>
                <w:szCs w:val="22"/>
              </w:rPr>
              <w:t>n/a</w:t>
            </w:r>
          </w:p>
        </w:tc>
      </w:tr>
      <w:tr w:rsidR="003E41AA" w:rsidRPr="00EF1DC1" w14:paraId="06FCBCD3" w14:textId="77777777" w:rsidTr="008D112F">
        <w:trPr>
          <w:trHeight w:val="320"/>
        </w:trPr>
        <w:tc>
          <w:tcPr>
            <w:tcW w:w="2440" w:type="dxa"/>
            <w:tcBorders>
              <w:top w:val="nil"/>
              <w:left w:val="nil"/>
              <w:bottom w:val="nil"/>
              <w:right w:val="nil"/>
            </w:tcBorders>
            <w:noWrap/>
            <w:vAlign w:val="bottom"/>
            <w:hideMark/>
          </w:tcPr>
          <w:p w14:paraId="34340B0B" w14:textId="77777777" w:rsidR="003E41AA" w:rsidRPr="00EF1DC1" w:rsidRDefault="003E41AA" w:rsidP="008D112F">
            <w:pPr>
              <w:rPr>
                <w:i/>
                <w:iCs/>
                <w:color w:val="000000"/>
                <w:sz w:val="22"/>
                <w:szCs w:val="22"/>
              </w:rPr>
            </w:pPr>
            <w:proofErr w:type="spellStart"/>
            <w:r w:rsidRPr="00EF1DC1">
              <w:rPr>
                <w:i/>
                <w:iCs/>
                <w:color w:val="000000"/>
                <w:sz w:val="22"/>
                <w:szCs w:val="22"/>
              </w:rPr>
              <w:t>Shangsi-Taşkent</w:t>
            </w:r>
            <w:proofErr w:type="spellEnd"/>
          </w:p>
        </w:tc>
        <w:tc>
          <w:tcPr>
            <w:tcW w:w="1560" w:type="dxa"/>
            <w:tcBorders>
              <w:top w:val="nil"/>
              <w:left w:val="nil"/>
              <w:bottom w:val="nil"/>
              <w:right w:val="nil"/>
            </w:tcBorders>
            <w:noWrap/>
            <w:vAlign w:val="center"/>
            <w:hideMark/>
          </w:tcPr>
          <w:p w14:paraId="4B98849B" w14:textId="77777777" w:rsidR="003E41AA" w:rsidRPr="00EF1DC1" w:rsidRDefault="003E41AA" w:rsidP="008D112F">
            <w:pPr>
              <w:jc w:val="center"/>
              <w:rPr>
                <w:color w:val="000000"/>
                <w:sz w:val="22"/>
                <w:szCs w:val="22"/>
              </w:rPr>
            </w:pPr>
            <w:r w:rsidRPr="00EF1DC1">
              <w:rPr>
                <w:color w:val="000000"/>
                <w:sz w:val="22"/>
                <w:szCs w:val="22"/>
              </w:rPr>
              <w:t>n/a</w:t>
            </w:r>
          </w:p>
        </w:tc>
        <w:tc>
          <w:tcPr>
            <w:tcW w:w="852" w:type="dxa"/>
            <w:tcBorders>
              <w:top w:val="nil"/>
              <w:left w:val="nil"/>
              <w:bottom w:val="nil"/>
              <w:right w:val="nil"/>
            </w:tcBorders>
            <w:noWrap/>
            <w:vAlign w:val="center"/>
            <w:hideMark/>
          </w:tcPr>
          <w:p w14:paraId="3523FF75" w14:textId="77777777" w:rsidR="003E41AA" w:rsidRPr="00EF1DC1" w:rsidRDefault="003E41AA" w:rsidP="008D112F">
            <w:pPr>
              <w:jc w:val="center"/>
              <w:rPr>
                <w:color w:val="000000"/>
                <w:sz w:val="22"/>
                <w:szCs w:val="22"/>
              </w:rPr>
            </w:pPr>
            <w:r w:rsidRPr="00EF1DC1">
              <w:rPr>
                <w:color w:val="000000"/>
                <w:sz w:val="22"/>
                <w:szCs w:val="22"/>
              </w:rPr>
              <w:t>0.971</w:t>
            </w:r>
          </w:p>
        </w:tc>
        <w:tc>
          <w:tcPr>
            <w:tcW w:w="1120" w:type="dxa"/>
            <w:tcBorders>
              <w:top w:val="nil"/>
              <w:left w:val="nil"/>
              <w:bottom w:val="nil"/>
              <w:right w:val="nil"/>
            </w:tcBorders>
            <w:noWrap/>
            <w:vAlign w:val="center"/>
            <w:hideMark/>
          </w:tcPr>
          <w:p w14:paraId="410BFA7B" w14:textId="77777777" w:rsidR="003E41AA" w:rsidRPr="00EF1DC1" w:rsidRDefault="003E41AA" w:rsidP="008D112F">
            <w:pPr>
              <w:jc w:val="center"/>
              <w:rPr>
                <w:color w:val="000000"/>
                <w:sz w:val="22"/>
                <w:szCs w:val="22"/>
              </w:rPr>
            </w:pPr>
            <w:r w:rsidRPr="00EF1DC1">
              <w:rPr>
                <w:color w:val="000000"/>
                <w:sz w:val="22"/>
                <w:szCs w:val="22"/>
              </w:rPr>
              <w:t>n/a</w:t>
            </w:r>
          </w:p>
        </w:tc>
        <w:tc>
          <w:tcPr>
            <w:tcW w:w="2087" w:type="dxa"/>
            <w:tcBorders>
              <w:top w:val="nil"/>
              <w:left w:val="nil"/>
              <w:bottom w:val="nil"/>
              <w:right w:val="nil"/>
            </w:tcBorders>
            <w:noWrap/>
            <w:vAlign w:val="center"/>
            <w:hideMark/>
          </w:tcPr>
          <w:p w14:paraId="03950566" w14:textId="77777777" w:rsidR="003E41AA" w:rsidRPr="00EF1DC1" w:rsidRDefault="003E41AA" w:rsidP="008D112F">
            <w:pPr>
              <w:jc w:val="center"/>
              <w:rPr>
                <w:color w:val="000000"/>
                <w:sz w:val="22"/>
                <w:szCs w:val="22"/>
              </w:rPr>
            </w:pPr>
            <w:r w:rsidRPr="00EF1DC1">
              <w:rPr>
                <w:color w:val="000000"/>
                <w:sz w:val="22"/>
                <w:szCs w:val="22"/>
              </w:rPr>
              <w:t>n/a</w:t>
            </w:r>
          </w:p>
        </w:tc>
      </w:tr>
      <w:tr w:rsidR="003E41AA" w:rsidRPr="00EF1DC1" w14:paraId="32163829" w14:textId="77777777" w:rsidTr="008D112F">
        <w:trPr>
          <w:trHeight w:val="320"/>
        </w:trPr>
        <w:tc>
          <w:tcPr>
            <w:tcW w:w="2440" w:type="dxa"/>
            <w:tcBorders>
              <w:top w:val="nil"/>
              <w:left w:val="nil"/>
              <w:bottom w:val="nil"/>
              <w:right w:val="nil"/>
            </w:tcBorders>
            <w:noWrap/>
            <w:vAlign w:val="bottom"/>
            <w:hideMark/>
          </w:tcPr>
          <w:p w14:paraId="28E4A8EB" w14:textId="77777777" w:rsidR="003E41AA" w:rsidRPr="00EF1DC1" w:rsidRDefault="003E41AA" w:rsidP="008D112F">
            <w:pPr>
              <w:rPr>
                <w:i/>
                <w:iCs/>
                <w:color w:val="000000"/>
                <w:sz w:val="22"/>
                <w:szCs w:val="22"/>
              </w:rPr>
            </w:pPr>
            <w:proofErr w:type="spellStart"/>
            <w:r w:rsidRPr="00EF1DC1">
              <w:rPr>
                <w:i/>
                <w:iCs/>
                <w:color w:val="000000"/>
                <w:sz w:val="22"/>
                <w:szCs w:val="22"/>
              </w:rPr>
              <w:t>Shangsi-Takachiho</w:t>
            </w:r>
            <w:proofErr w:type="spellEnd"/>
          </w:p>
        </w:tc>
        <w:tc>
          <w:tcPr>
            <w:tcW w:w="1560" w:type="dxa"/>
            <w:tcBorders>
              <w:top w:val="nil"/>
              <w:left w:val="nil"/>
              <w:bottom w:val="nil"/>
              <w:right w:val="nil"/>
            </w:tcBorders>
            <w:noWrap/>
            <w:vAlign w:val="center"/>
            <w:hideMark/>
          </w:tcPr>
          <w:p w14:paraId="67311709" w14:textId="77777777" w:rsidR="003E41AA" w:rsidRPr="00EF1DC1" w:rsidRDefault="003E41AA" w:rsidP="008D112F">
            <w:pPr>
              <w:jc w:val="center"/>
              <w:rPr>
                <w:color w:val="000000"/>
                <w:sz w:val="22"/>
                <w:szCs w:val="22"/>
              </w:rPr>
            </w:pPr>
            <w:r w:rsidRPr="00EF1DC1">
              <w:rPr>
                <w:color w:val="000000"/>
                <w:sz w:val="22"/>
                <w:szCs w:val="22"/>
              </w:rPr>
              <w:t>n/a</w:t>
            </w:r>
          </w:p>
        </w:tc>
        <w:tc>
          <w:tcPr>
            <w:tcW w:w="852" w:type="dxa"/>
            <w:tcBorders>
              <w:top w:val="nil"/>
              <w:left w:val="nil"/>
              <w:bottom w:val="nil"/>
              <w:right w:val="nil"/>
            </w:tcBorders>
            <w:noWrap/>
            <w:vAlign w:val="center"/>
            <w:hideMark/>
          </w:tcPr>
          <w:p w14:paraId="614DA20A" w14:textId="77777777" w:rsidR="003E41AA" w:rsidRPr="00EF1DC1" w:rsidRDefault="003E41AA" w:rsidP="008D112F">
            <w:pPr>
              <w:jc w:val="center"/>
              <w:rPr>
                <w:color w:val="000000"/>
                <w:sz w:val="22"/>
                <w:szCs w:val="22"/>
              </w:rPr>
            </w:pPr>
            <w:r w:rsidRPr="00EF1DC1">
              <w:rPr>
                <w:color w:val="000000"/>
                <w:sz w:val="22"/>
                <w:szCs w:val="22"/>
              </w:rPr>
              <w:t>0.622</w:t>
            </w:r>
          </w:p>
        </w:tc>
        <w:tc>
          <w:tcPr>
            <w:tcW w:w="1120" w:type="dxa"/>
            <w:tcBorders>
              <w:top w:val="nil"/>
              <w:left w:val="nil"/>
              <w:bottom w:val="nil"/>
              <w:right w:val="nil"/>
            </w:tcBorders>
            <w:noWrap/>
            <w:vAlign w:val="center"/>
            <w:hideMark/>
          </w:tcPr>
          <w:p w14:paraId="7A4E3771" w14:textId="77777777" w:rsidR="003E41AA" w:rsidRPr="00EF1DC1" w:rsidRDefault="003E41AA" w:rsidP="008D112F">
            <w:pPr>
              <w:jc w:val="center"/>
              <w:rPr>
                <w:color w:val="000000"/>
                <w:sz w:val="22"/>
                <w:szCs w:val="22"/>
              </w:rPr>
            </w:pPr>
            <w:r w:rsidRPr="00EF1DC1">
              <w:rPr>
                <w:color w:val="000000"/>
                <w:sz w:val="22"/>
                <w:szCs w:val="22"/>
              </w:rPr>
              <w:t>n/a</w:t>
            </w:r>
          </w:p>
        </w:tc>
        <w:tc>
          <w:tcPr>
            <w:tcW w:w="2087" w:type="dxa"/>
            <w:tcBorders>
              <w:top w:val="nil"/>
              <w:left w:val="nil"/>
              <w:bottom w:val="nil"/>
              <w:right w:val="nil"/>
            </w:tcBorders>
            <w:noWrap/>
            <w:vAlign w:val="center"/>
            <w:hideMark/>
          </w:tcPr>
          <w:p w14:paraId="25B1D3C7" w14:textId="77777777" w:rsidR="003E41AA" w:rsidRPr="00EF1DC1" w:rsidRDefault="003E41AA" w:rsidP="008D112F">
            <w:pPr>
              <w:jc w:val="center"/>
              <w:rPr>
                <w:color w:val="000000"/>
                <w:sz w:val="22"/>
                <w:szCs w:val="22"/>
              </w:rPr>
            </w:pPr>
            <w:r w:rsidRPr="00EF1DC1">
              <w:rPr>
                <w:color w:val="000000"/>
                <w:sz w:val="22"/>
                <w:szCs w:val="22"/>
              </w:rPr>
              <w:t>n/a</w:t>
            </w:r>
          </w:p>
        </w:tc>
      </w:tr>
      <w:tr w:rsidR="003E41AA" w:rsidRPr="00EF1DC1" w14:paraId="67088EF6" w14:textId="77777777" w:rsidTr="008D112F">
        <w:trPr>
          <w:trHeight w:val="320"/>
        </w:trPr>
        <w:tc>
          <w:tcPr>
            <w:tcW w:w="2440" w:type="dxa"/>
            <w:tcBorders>
              <w:top w:val="nil"/>
              <w:left w:val="nil"/>
              <w:bottom w:val="nil"/>
              <w:right w:val="nil"/>
            </w:tcBorders>
            <w:noWrap/>
            <w:vAlign w:val="bottom"/>
            <w:hideMark/>
          </w:tcPr>
          <w:p w14:paraId="19753F95" w14:textId="77777777" w:rsidR="003E41AA" w:rsidRPr="00EF1DC1" w:rsidRDefault="003E41AA" w:rsidP="008D112F">
            <w:pPr>
              <w:rPr>
                <w:i/>
                <w:iCs/>
                <w:color w:val="000000"/>
                <w:sz w:val="22"/>
                <w:szCs w:val="22"/>
              </w:rPr>
            </w:pPr>
            <w:proofErr w:type="spellStart"/>
            <w:r w:rsidRPr="00EF1DC1">
              <w:rPr>
                <w:i/>
                <w:iCs/>
                <w:color w:val="000000"/>
                <w:sz w:val="22"/>
                <w:szCs w:val="22"/>
              </w:rPr>
              <w:t>Shanggang-Taşkent</w:t>
            </w:r>
            <w:proofErr w:type="spellEnd"/>
          </w:p>
        </w:tc>
        <w:tc>
          <w:tcPr>
            <w:tcW w:w="1560" w:type="dxa"/>
            <w:tcBorders>
              <w:top w:val="nil"/>
              <w:left w:val="nil"/>
              <w:bottom w:val="nil"/>
              <w:right w:val="nil"/>
            </w:tcBorders>
            <w:noWrap/>
            <w:vAlign w:val="center"/>
            <w:hideMark/>
          </w:tcPr>
          <w:p w14:paraId="421503EE" w14:textId="77777777" w:rsidR="003E41AA" w:rsidRPr="00EF1DC1" w:rsidRDefault="003E41AA" w:rsidP="008D112F">
            <w:pPr>
              <w:jc w:val="center"/>
              <w:rPr>
                <w:color w:val="000000"/>
                <w:sz w:val="22"/>
                <w:szCs w:val="22"/>
              </w:rPr>
            </w:pPr>
            <w:r w:rsidRPr="00EF1DC1">
              <w:rPr>
                <w:color w:val="000000"/>
                <w:sz w:val="22"/>
                <w:szCs w:val="22"/>
              </w:rPr>
              <w:t>n/a</w:t>
            </w:r>
          </w:p>
        </w:tc>
        <w:tc>
          <w:tcPr>
            <w:tcW w:w="852" w:type="dxa"/>
            <w:tcBorders>
              <w:top w:val="nil"/>
              <w:left w:val="nil"/>
              <w:bottom w:val="nil"/>
              <w:right w:val="nil"/>
            </w:tcBorders>
            <w:noWrap/>
            <w:vAlign w:val="center"/>
            <w:hideMark/>
          </w:tcPr>
          <w:p w14:paraId="3B44A245" w14:textId="77777777" w:rsidR="003E41AA" w:rsidRPr="00EF1DC1" w:rsidRDefault="003E41AA" w:rsidP="008D112F">
            <w:pPr>
              <w:jc w:val="center"/>
              <w:rPr>
                <w:color w:val="000000"/>
                <w:sz w:val="22"/>
                <w:szCs w:val="22"/>
              </w:rPr>
            </w:pPr>
            <w:r w:rsidRPr="00EF1DC1">
              <w:rPr>
                <w:color w:val="000000"/>
                <w:sz w:val="22"/>
                <w:szCs w:val="22"/>
              </w:rPr>
              <w:t>0.971</w:t>
            </w:r>
          </w:p>
        </w:tc>
        <w:tc>
          <w:tcPr>
            <w:tcW w:w="1120" w:type="dxa"/>
            <w:tcBorders>
              <w:top w:val="nil"/>
              <w:left w:val="nil"/>
              <w:bottom w:val="nil"/>
              <w:right w:val="nil"/>
            </w:tcBorders>
            <w:noWrap/>
            <w:vAlign w:val="center"/>
            <w:hideMark/>
          </w:tcPr>
          <w:p w14:paraId="5311FE9E" w14:textId="77777777" w:rsidR="003E41AA" w:rsidRPr="00EF1DC1" w:rsidRDefault="003E41AA" w:rsidP="008D112F">
            <w:pPr>
              <w:jc w:val="center"/>
              <w:rPr>
                <w:color w:val="000000"/>
                <w:sz w:val="22"/>
                <w:szCs w:val="22"/>
              </w:rPr>
            </w:pPr>
            <w:r w:rsidRPr="00EF1DC1">
              <w:rPr>
                <w:color w:val="000000"/>
                <w:sz w:val="22"/>
                <w:szCs w:val="22"/>
              </w:rPr>
              <w:t>0.506</w:t>
            </w:r>
          </w:p>
        </w:tc>
        <w:tc>
          <w:tcPr>
            <w:tcW w:w="2087" w:type="dxa"/>
            <w:tcBorders>
              <w:top w:val="nil"/>
              <w:left w:val="nil"/>
              <w:bottom w:val="nil"/>
              <w:right w:val="nil"/>
            </w:tcBorders>
            <w:noWrap/>
            <w:vAlign w:val="center"/>
            <w:hideMark/>
          </w:tcPr>
          <w:p w14:paraId="7461CD29" w14:textId="77777777" w:rsidR="003E41AA" w:rsidRPr="00EF1DC1" w:rsidRDefault="003E41AA" w:rsidP="008D112F">
            <w:pPr>
              <w:jc w:val="center"/>
              <w:rPr>
                <w:color w:val="000000"/>
                <w:sz w:val="22"/>
                <w:szCs w:val="22"/>
              </w:rPr>
            </w:pPr>
            <w:r w:rsidRPr="00EF1DC1">
              <w:rPr>
                <w:color w:val="000000"/>
                <w:sz w:val="22"/>
                <w:szCs w:val="22"/>
              </w:rPr>
              <w:t>n/a</w:t>
            </w:r>
          </w:p>
        </w:tc>
      </w:tr>
      <w:tr w:rsidR="003E41AA" w:rsidRPr="00EF1DC1" w14:paraId="75226C64" w14:textId="77777777" w:rsidTr="008D112F">
        <w:trPr>
          <w:trHeight w:val="320"/>
        </w:trPr>
        <w:tc>
          <w:tcPr>
            <w:tcW w:w="2440" w:type="dxa"/>
            <w:tcBorders>
              <w:top w:val="nil"/>
              <w:left w:val="nil"/>
              <w:bottom w:val="nil"/>
              <w:right w:val="nil"/>
            </w:tcBorders>
            <w:noWrap/>
            <w:vAlign w:val="bottom"/>
            <w:hideMark/>
          </w:tcPr>
          <w:p w14:paraId="4E6150F4" w14:textId="77777777" w:rsidR="003E41AA" w:rsidRPr="00EF1DC1" w:rsidRDefault="003E41AA" w:rsidP="008D112F">
            <w:pPr>
              <w:rPr>
                <w:i/>
                <w:iCs/>
                <w:color w:val="000000"/>
                <w:sz w:val="22"/>
                <w:szCs w:val="22"/>
              </w:rPr>
            </w:pPr>
            <w:proofErr w:type="spellStart"/>
            <w:r w:rsidRPr="00EF1DC1">
              <w:rPr>
                <w:i/>
                <w:iCs/>
                <w:color w:val="000000"/>
                <w:sz w:val="22"/>
                <w:szCs w:val="22"/>
              </w:rPr>
              <w:t>Shanggang-Takachiho</w:t>
            </w:r>
            <w:proofErr w:type="spellEnd"/>
          </w:p>
        </w:tc>
        <w:tc>
          <w:tcPr>
            <w:tcW w:w="1560" w:type="dxa"/>
            <w:tcBorders>
              <w:top w:val="nil"/>
              <w:left w:val="nil"/>
              <w:bottom w:val="nil"/>
              <w:right w:val="nil"/>
            </w:tcBorders>
            <w:noWrap/>
            <w:vAlign w:val="center"/>
            <w:hideMark/>
          </w:tcPr>
          <w:p w14:paraId="066B7577" w14:textId="77777777" w:rsidR="003E41AA" w:rsidRPr="00EF1DC1" w:rsidRDefault="003E41AA" w:rsidP="008D112F">
            <w:pPr>
              <w:jc w:val="center"/>
              <w:rPr>
                <w:color w:val="000000"/>
                <w:sz w:val="22"/>
                <w:szCs w:val="22"/>
              </w:rPr>
            </w:pPr>
            <w:r w:rsidRPr="00EF1DC1">
              <w:rPr>
                <w:color w:val="000000"/>
                <w:sz w:val="22"/>
                <w:szCs w:val="22"/>
              </w:rPr>
              <w:t>n/a</w:t>
            </w:r>
          </w:p>
        </w:tc>
        <w:tc>
          <w:tcPr>
            <w:tcW w:w="852" w:type="dxa"/>
            <w:tcBorders>
              <w:top w:val="nil"/>
              <w:left w:val="nil"/>
              <w:bottom w:val="nil"/>
              <w:right w:val="nil"/>
            </w:tcBorders>
            <w:noWrap/>
            <w:vAlign w:val="center"/>
            <w:hideMark/>
          </w:tcPr>
          <w:p w14:paraId="6385FB05" w14:textId="77777777" w:rsidR="003E41AA" w:rsidRPr="00EF1DC1" w:rsidRDefault="003E41AA" w:rsidP="008D112F">
            <w:pPr>
              <w:jc w:val="center"/>
              <w:rPr>
                <w:b/>
                <w:bCs/>
                <w:color w:val="000000"/>
                <w:sz w:val="22"/>
                <w:szCs w:val="22"/>
              </w:rPr>
            </w:pPr>
            <w:r w:rsidRPr="00EF1DC1">
              <w:rPr>
                <w:b/>
                <w:bCs/>
                <w:color w:val="000000"/>
                <w:sz w:val="22"/>
                <w:szCs w:val="22"/>
              </w:rPr>
              <w:t>&lt;0.001</w:t>
            </w:r>
          </w:p>
        </w:tc>
        <w:tc>
          <w:tcPr>
            <w:tcW w:w="1120" w:type="dxa"/>
            <w:tcBorders>
              <w:top w:val="nil"/>
              <w:left w:val="nil"/>
              <w:bottom w:val="nil"/>
              <w:right w:val="nil"/>
            </w:tcBorders>
            <w:noWrap/>
            <w:vAlign w:val="center"/>
            <w:hideMark/>
          </w:tcPr>
          <w:p w14:paraId="25FBCFC7" w14:textId="77777777" w:rsidR="003E41AA" w:rsidRPr="00EF1DC1" w:rsidRDefault="003E41AA" w:rsidP="008D112F">
            <w:pPr>
              <w:jc w:val="center"/>
              <w:rPr>
                <w:b/>
                <w:bCs/>
                <w:color w:val="000000"/>
                <w:sz w:val="22"/>
                <w:szCs w:val="22"/>
              </w:rPr>
            </w:pPr>
            <w:r w:rsidRPr="00EF1DC1">
              <w:rPr>
                <w:b/>
                <w:bCs/>
                <w:color w:val="000000"/>
                <w:sz w:val="22"/>
                <w:szCs w:val="22"/>
              </w:rPr>
              <w:t>0.007</w:t>
            </w:r>
          </w:p>
        </w:tc>
        <w:tc>
          <w:tcPr>
            <w:tcW w:w="2087" w:type="dxa"/>
            <w:tcBorders>
              <w:top w:val="nil"/>
              <w:left w:val="nil"/>
              <w:bottom w:val="nil"/>
              <w:right w:val="nil"/>
            </w:tcBorders>
            <w:noWrap/>
            <w:vAlign w:val="center"/>
            <w:hideMark/>
          </w:tcPr>
          <w:p w14:paraId="485EBA6B" w14:textId="77777777" w:rsidR="003E41AA" w:rsidRPr="00EF1DC1" w:rsidRDefault="003E41AA" w:rsidP="008D112F">
            <w:pPr>
              <w:jc w:val="center"/>
              <w:rPr>
                <w:color w:val="000000"/>
                <w:sz w:val="22"/>
                <w:szCs w:val="22"/>
              </w:rPr>
            </w:pPr>
            <w:r w:rsidRPr="00EF1DC1">
              <w:rPr>
                <w:color w:val="000000"/>
                <w:sz w:val="22"/>
                <w:szCs w:val="22"/>
              </w:rPr>
              <w:t>n/a</w:t>
            </w:r>
          </w:p>
        </w:tc>
      </w:tr>
      <w:tr w:rsidR="003E41AA" w:rsidRPr="00EF1DC1" w14:paraId="6E33D43E" w14:textId="77777777" w:rsidTr="008D112F">
        <w:trPr>
          <w:trHeight w:val="320"/>
        </w:trPr>
        <w:tc>
          <w:tcPr>
            <w:tcW w:w="2440" w:type="dxa"/>
            <w:tcBorders>
              <w:top w:val="nil"/>
              <w:left w:val="nil"/>
              <w:bottom w:val="single" w:sz="4" w:space="0" w:color="auto"/>
              <w:right w:val="nil"/>
            </w:tcBorders>
            <w:noWrap/>
            <w:vAlign w:val="bottom"/>
            <w:hideMark/>
          </w:tcPr>
          <w:p w14:paraId="44A52A25" w14:textId="77777777" w:rsidR="003E41AA" w:rsidRPr="00EF1DC1" w:rsidRDefault="003E41AA" w:rsidP="008D112F">
            <w:pPr>
              <w:rPr>
                <w:i/>
                <w:iCs/>
                <w:color w:val="000000"/>
                <w:sz w:val="22"/>
                <w:szCs w:val="22"/>
              </w:rPr>
            </w:pPr>
            <w:proofErr w:type="spellStart"/>
            <w:r w:rsidRPr="00EF1DC1">
              <w:rPr>
                <w:i/>
                <w:iCs/>
                <w:color w:val="000000"/>
                <w:sz w:val="22"/>
                <w:szCs w:val="22"/>
              </w:rPr>
              <w:t>Taşkent-Takachiho</w:t>
            </w:r>
            <w:proofErr w:type="spellEnd"/>
          </w:p>
        </w:tc>
        <w:tc>
          <w:tcPr>
            <w:tcW w:w="1560" w:type="dxa"/>
            <w:tcBorders>
              <w:top w:val="nil"/>
              <w:left w:val="nil"/>
              <w:bottom w:val="single" w:sz="4" w:space="0" w:color="auto"/>
              <w:right w:val="nil"/>
            </w:tcBorders>
            <w:noWrap/>
            <w:vAlign w:val="center"/>
            <w:hideMark/>
          </w:tcPr>
          <w:p w14:paraId="0F4EA3FD" w14:textId="77777777" w:rsidR="003E41AA" w:rsidRPr="00EF1DC1" w:rsidRDefault="003E41AA" w:rsidP="008D112F">
            <w:pPr>
              <w:jc w:val="center"/>
              <w:rPr>
                <w:color w:val="000000"/>
                <w:sz w:val="22"/>
                <w:szCs w:val="22"/>
              </w:rPr>
            </w:pPr>
            <w:r w:rsidRPr="00EF1DC1">
              <w:rPr>
                <w:color w:val="000000"/>
                <w:sz w:val="22"/>
                <w:szCs w:val="22"/>
              </w:rPr>
              <w:t>n/a</w:t>
            </w:r>
          </w:p>
        </w:tc>
        <w:tc>
          <w:tcPr>
            <w:tcW w:w="852" w:type="dxa"/>
            <w:tcBorders>
              <w:top w:val="nil"/>
              <w:left w:val="nil"/>
              <w:bottom w:val="single" w:sz="4" w:space="0" w:color="auto"/>
              <w:right w:val="nil"/>
            </w:tcBorders>
            <w:noWrap/>
            <w:vAlign w:val="center"/>
            <w:hideMark/>
          </w:tcPr>
          <w:p w14:paraId="56F5CC84" w14:textId="77777777" w:rsidR="003E41AA" w:rsidRPr="00EF1DC1" w:rsidRDefault="003E41AA" w:rsidP="008D112F">
            <w:pPr>
              <w:jc w:val="center"/>
              <w:rPr>
                <w:b/>
                <w:bCs/>
                <w:color w:val="000000"/>
                <w:sz w:val="22"/>
                <w:szCs w:val="22"/>
              </w:rPr>
            </w:pPr>
            <w:r w:rsidRPr="00EF1DC1">
              <w:rPr>
                <w:b/>
                <w:bCs/>
                <w:color w:val="000000"/>
                <w:sz w:val="22"/>
                <w:szCs w:val="22"/>
              </w:rPr>
              <w:t>0.006</w:t>
            </w:r>
          </w:p>
        </w:tc>
        <w:tc>
          <w:tcPr>
            <w:tcW w:w="1120" w:type="dxa"/>
            <w:tcBorders>
              <w:top w:val="nil"/>
              <w:left w:val="nil"/>
              <w:bottom w:val="single" w:sz="4" w:space="0" w:color="auto"/>
              <w:right w:val="nil"/>
            </w:tcBorders>
            <w:noWrap/>
            <w:vAlign w:val="center"/>
            <w:hideMark/>
          </w:tcPr>
          <w:p w14:paraId="2EB3D938" w14:textId="77777777" w:rsidR="003E41AA" w:rsidRPr="00EF1DC1" w:rsidRDefault="003E41AA" w:rsidP="008D112F">
            <w:pPr>
              <w:jc w:val="center"/>
              <w:rPr>
                <w:b/>
                <w:bCs/>
                <w:color w:val="000000"/>
                <w:sz w:val="22"/>
                <w:szCs w:val="22"/>
              </w:rPr>
            </w:pPr>
            <w:r w:rsidRPr="00EF1DC1">
              <w:rPr>
                <w:b/>
                <w:bCs/>
                <w:color w:val="000000"/>
                <w:sz w:val="22"/>
                <w:szCs w:val="22"/>
              </w:rPr>
              <w:t>0.034</w:t>
            </w:r>
          </w:p>
        </w:tc>
        <w:tc>
          <w:tcPr>
            <w:tcW w:w="2087" w:type="dxa"/>
            <w:tcBorders>
              <w:top w:val="nil"/>
              <w:left w:val="nil"/>
              <w:bottom w:val="single" w:sz="4" w:space="0" w:color="auto"/>
              <w:right w:val="nil"/>
            </w:tcBorders>
            <w:noWrap/>
            <w:vAlign w:val="center"/>
            <w:hideMark/>
          </w:tcPr>
          <w:p w14:paraId="44A0F716" w14:textId="77777777" w:rsidR="003E41AA" w:rsidRPr="00EF1DC1" w:rsidRDefault="003E41AA" w:rsidP="008D112F">
            <w:pPr>
              <w:jc w:val="center"/>
              <w:rPr>
                <w:b/>
                <w:bCs/>
                <w:color w:val="000000"/>
                <w:sz w:val="22"/>
                <w:szCs w:val="22"/>
              </w:rPr>
            </w:pPr>
            <w:r w:rsidRPr="00EF1DC1">
              <w:rPr>
                <w:b/>
                <w:bCs/>
                <w:color w:val="000000"/>
                <w:sz w:val="22"/>
                <w:szCs w:val="22"/>
              </w:rPr>
              <w:t>0.024</w:t>
            </w:r>
          </w:p>
        </w:tc>
      </w:tr>
    </w:tbl>
    <w:p w14:paraId="6B5CE8AC" w14:textId="44E2F825" w:rsidR="002C5755" w:rsidRPr="00EF1DC1" w:rsidRDefault="002C5755"/>
    <w:p w14:paraId="6DD6F75B" w14:textId="77777777" w:rsidR="00A21B85" w:rsidRPr="00EF1DC1" w:rsidRDefault="00A21B85">
      <w:pPr>
        <w:rPr>
          <w:b/>
          <w:bCs/>
          <w:color w:val="000000"/>
          <w:sz w:val="22"/>
          <w:szCs w:val="22"/>
        </w:rPr>
      </w:pPr>
      <w:r w:rsidRPr="00EF1DC1">
        <w:rPr>
          <w:b/>
          <w:bCs/>
          <w:color w:val="000000"/>
          <w:sz w:val="22"/>
          <w:szCs w:val="22"/>
        </w:rPr>
        <w:br w:type="page"/>
      </w:r>
    </w:p>
    <w:p w14:paraId="2239A282" w14:textId="32D699CC" w:rsidR="000A7E3A" w:rsidRPr="00A21B85" w:rsidRDefault="009B20BB" w:rsidP="00A21B85">
      <w:pPr>
        <w:contextualSpacing/>
        <w:rPr>
          <w:rStyle w:val="Hyperlink"/>
          <w:b/>
          <w:bCs/>
          <w:color w:val="000000"/>
          <w:sz w:val="22"/>
          <w:szCs w:val="22"/>
          <w:u w:val="none"/>
        </w:rPr>
      </w:pPr>
      <w:r w:rsidRPr="00A21B85">
        <w:rPr>
          <w:b/>
          <w:bCs/>
          <w:color w:val="000000"/>
          <w:sz w:val="22"/>
          <w:szCs w:val="22"/>
        </w:rPr>
        <w:lastRenderedPageBreak/>
        <w:t xml:space="preserve">REFERENCES </w:t>
      </w:r>
    </w:p>
    <w:p w14:paraId="709FC8AC" w14:textId="77777777" w:rsidR="00A21B85" w:rsidRPr="00A21B85" w:rsidRDefault="00A21B85" w:rsidP="00A21B85">
      <w:pPr>
        <w:ind w:left="360" w:hanging="360"/>
        <w:contextualSpacing/>
        <w:rPr>
          <w:sz w:val="22"/>
          <w:szCs w:val="22"/>
        </w:rPr>
      </w:pPr>
      <w:r w:rsidRPr="00A21B85">
        <w:rPr>
          <w:sz w:val="22"/>
          <w:szCs w:val="22"/>
        </w:rPr>
        <w:t xml:space="preserve">Adloff, M., Ridgwell, A., Monteiro, F.M., Parkinson, I.J., Dickson, A.J., Pogge Von Strandmann, P.A.E., </w:t>
      </w:r>
      <w:proofErr w:type="spellStart"/>
      <w:r w:rsidRPr="00A21B85">
        <w:rPr>
          <w:sz w:val="22"/>
          <w:szCs w:val="22"/>
        </w:rPr>
        <w:t>Fantle</w:t>
      </w:r>
      <w:proofErr w:type="spellEnd"/>
      <w:r w:rsidRPr="00A21B85">
        <w:rPr>
          <w:sz w:val="22"/>
          <w:szCs w:val="22"/>
        </w:rPr>
        <w:t xml:space="preserve">, M.S., Greene, S.E., 2021. Inclusion of a suite of weathering tracers in the </w:t>
      </w:r>
      <w:proofErr w:type="spellStart"/>
      <w:r w:rsidRPr="00A21B85">
        <w:rPr>
          <w:sz w:val="22"/>
          <w:szCs w:val="22"/>
        </w:rPr>
        <w:t>cGENIE</w:t>
      </w:r>
      <w:proofErr w:type="spellEnd"/>
      <w:r w:rsidRPr="00A21B85">
        <w:rPr>
          <w:sz w:val="22"/>
          <w:szCs w:val="22"/>
        </w:rPr>
        <w:t xml:space="preserve"> Earth system model – muffin release v.0.9.23. </w:t>
      </w:r>
      <w:proofErr w:type="spellStart"/>
      <w:r w:rsidRPr="00A21B85">
        <w:rPr>
          <w:sz w:val="22"/>
          <w:szCs w:val="22"/>
        </w:rPr>
        <w:t>Geosci</w:t>
      </w:r>
      <w:proofErr w:type="spellEnd"/>
      <w:r w:rsidRPr="00A21B85">
        <w:rPr>
          <w:sz w:val="22"/>
          <w:szCs w:val="22"/>
        </w:rPr>
        <w:t xml:space="preserve">. Model Dev. 14, 4187–4223. </w:t>
      </w:r>
      <w:hyperlink r:id="rId16" w:history="1">
        <w:r w:rsidRPr="00A21B85">
          <w:rPr>
            <w:rStyle w:val="Hyperlink"/>
            <w:sz w:val="22"/>
            <w:szCs w:val="22"/>
          </w:rPr>
          <w:t>https://doi.org/10.5194/gmd-14-4187-2021</w:t>
        </w:r>
      </w:hyperlink>
    </w:p>
    <w:p w14:paraId="13E556A7" w14:textId="77777777" w:rsidR="00A21B85" w:rsidRPr="00A21B85" w:rsidRDefault="00A21B85" w:rsidP="00A21B85">
      <w:pPr>
        <w:ind w:left="360" w:hanging="360"/>
        <w:contextualSpacing/>
        <w:rPr>
          <w:sz w:val="22"/>
          <w:szCs w:val="22"/>
        </w:rPr>
      </w:pPr>
      <w:r w:rsidRPr="00A21B85">
        <w:rPr>
          <w:sz w:val="22"/>
          <w:szCs w:val="22"/>
        </w:rPr>
        <w:t>Berner, R.A., 1980. Early Diagenesis, Princeton Series in Geochemistry. Princeton University Press, Princeton, N.J.</w:t>
      </w:r>
    </w:p>
    <w:p w14:paraId="53F5298A" w14:textId="77777777" w:rsidR="00A21B85" w:rsidRPr="00A21B85" w:rsidRDefault="00A21B85" w:rsidP="00A21B85">
      <w:pPr>
        <w:ind w:left="360" w:hanging="360"/>
        <w:contextualSpacing/>
        <w:rPr>
          <w:sz w:val="22"/>
          <w:szCs w:val="22"/>
        </w:rPr>
      </w:pPr>
      <w:proofErr w:type="spellStart"/>
      <w:r w:rsidRPr="00A21B85">
        <w:rPr>
          <w:sz w:val="22"/>
          <w:szCs w:val="22"/>
        </w:rPr>
        <w:t>Burdige</w:t>
      </w:r>
      <w:proofErr w:type="spellEnd"/>
      <w:r w:rsidRPr="00A21B85">
        <w:rPr>
          <w:sz w:val="22"/>
          <w:szCs w:val="22"/>
        </w:rPr>
        <w:t>, D.J., 2006. Geochemistry of Marine Sediments. Princeton University Press, Princeton, N.J.</w:t>
      </w:r>
    </w:p>
    <w:p w14:paraId="71A0A95F" w14:textId="77777777" w:rsidR="00785467" w:rsidRPr="00A21B85" w:rsidRDefault="00785467" w:rsidP="00A21B85">
      <w:pPr>
        <w:ind w:left="450" w:hanging="450"/>
        <w:contextualSpacing/>
        <w:rPr>
          <w:sz w:val="22"/>
          <w:szCs w:val="22"/>
        </w:rPr>
      </w:pPr>
      <w:r w:rsidRPr="00A21B85">
        <w:rPr>
          <w:sz w:val="22"/>
          <w:szCs w:val="22"/>
        </w:rPr>
        <w:t xml:space="preserve">Cao, C., Bataille, C.P., Song, H., Saltzman, M.R., Tierney Cramer, K., Wu, H., Korte, C., Zhang, Z., Liu, X.-M., 2022. Persistent late </w:t>
      </w:r>
      <w:proofErr w:type="spellStart"/>
      <w:r w:rsidRPr="00A21B85">
        <w:rPr>
          <w:sz w:val="22"/>
          <w:szCs w:val="22"/>
        </w:rPr>
        <w:t>permian</w:t>
      </w:r>
      <w:proofErr w:type="spellEnd"/>
      <w:r w:rsidRPr="00A21B85">
        <w:rPr>
          <w:sz w:val="22"/>
          <w:szCs w:val="22"/>
        </w:rPr>
        <w:t xml:space="preserve"> to early </w:t>
      </w:r>
      <w:proofErr w:type="spellStart"/>
      <w:r w:rsidRPr="00A21B85">
        <w:rPr>
          <w:sz w:val="22"/>
          <w:szCs w:val="22"/>
        </w:rPr>
        <w:t>triassic</w:t>
      </w:r>
      <w:proofErr w:type="spellEnd"/>
      <w:r w:rsidRPr="00A21B85">
        <w:rPr>
          <w:sz w:val="22"/>
          <w:szCs w:val="22"/>
        </w:rPr>
        <w:t xml:space="preserve"> warmth linked to enhanced reverse weathering. Nat. </w:t>
      </w:r>
      <w:proofErr w:type="spellStart"/>
      <w:r w:rsidRPr="00A21B85">
        <w:rPr>
          <w:sz w:val="22"/>
          <w:szCs w:val="22"/>
        </w:rPr>
        <w:t>Geosci</w:t>
      </w:r>
      <w:proofErr w:type="spellEnd"/>
      <w:r w:rsidRPr="00A21B85">
        <w:rPr>
          <w:sz w:val="22"/>
          <w:szCs w:val="22"/>
        </w:rPr>
        <w:t xml:space="preserve">. 15, 832–838. </w:t>
      </w:r>
      <w:hyperlink r:id="rId17" w:history="1">
        <w:r w:rsidRPr="00A21B85">
          <w:rPr>
            <w:rStyle w:val="Hyperlink"/>
            <w:sz w:val="22"/>
            <w:szCs w:val="22"/>
          </w:rPr>
          <w:t>https://doi.org/10.1038/s41561-022-01009-x</w:t>
        </w:r>
      </w:hyperlink>
    </w:p>
    <w:p w14:paraId="64AACC63" w14:textId="77777777" w:rsidR="00A21B85" w:rsidRPr="00A21B85" w:rsidRDefault="00A21B85" w:rsidP="00A21B85">
      <w:pPr>
        <w:ind w:left="360" w:hanging="360"/>
        <w:contextualSpacing/>
        <w:rPr>
          <w:sz w:val="22"/>
          <w:szCs w:val="22"/>
        </w:rPr>
      </w:pPr>
      <w:proofErr w:type="spellStart"/>
      <w:r w:rsidRPr="00A21B85">
        <w:rPr>
          <w:sz w:val="22"/>
          <w:szCs w:val="22"/>
        </w:rPr>
        <w:t>Chapela</w:t>
      </w:r>
      <w:proofErr w:type="spellEnd"/>
      <w:r w:rsidRPr="00A21B85">
        <w:rPr>
          <w:sz w:val="22"/>
          <w:szCs w:val="22"/>
        </w:rPr>
        <w:t xml:space="preserve"> Lara, M., Buss, H.L., Henehan, M.J., Schuessler, J.A., McDowell, W.H., 2022. Secondary Minerals Drive Extreme Lithium Isotope Fractionation During Tropical Weathering. JGR Earth Surface 127, e2021JF006366. </w:t>
      </w:r>
      <w:hyperlink r:id="rId18" w:history="1">
        <w:r w:rsidRPr="00A21B85">
          <w:rPr>
            <w:rStyle w:val="Hyperlink"/>
            <w:sz w:val="22"/>
            <w:szCs w:val="22"/>
          </w:rPr>
          <w:t>https://doi.org/10.1029/2021JF006366</w:t>
        </w:r>
      </w:hyperlink>
    </w:p>
    <w:p w14:paraId="66648BA8" w14:textId="77777777" w:rsidR="00A21B85" w:rsidRDefault="00A21B85" w:rsidP="00A21B85">
      <w:pPr>
        <w:ind w:left="360" w:hanging="360"/>
        <w:contextualSpacing/>
        <w:rPr>
          <w:sz w:val="22"/>
          <w:szCs w:val="22"/>
        </w:rPr>
      </w:pPr>
      <w:r w:rsidRPr="00A21B85">
        <w:rPr>
          <w:sz w:val="22"/>
          <w:szCs w:val="22"/>
        </w:rPr>
        <w:t xml:space="preserve">Clark, S.K., Johnson, T.M., 2008. Effective Isotopic Fractionation Factors for Solute Removal by Reactive Sediments: A Laboratory Microcosm and Slurry Study. Environmental Science &amp; Technology 42, 7850–7855. </w:t>
      </w:r>
      <w:hyperlink r:id="rId19" w:history="1">
        <w:r w:rsidRPr="00A21B85">
          <w:rPr>
            <w:rStyle w:val="Hyperlink"/>
            <w:sz w:val="22"/>
            <w:szCs w:val="22"/>
          </w:rPr>
          <w:t>https://doi.org/10.1021/es801814v</w:t>
        </w:r>
      </w:hyperlink>
    </w:p>
    <w:p w14:paraId="155CA91A" w14:textId="54E16821" w:rsidR="00A21B85" w:rsidRPr="00A21B85" w:rsidRDefault="00A21B85" w:rsidP="00A21B85">
      <w:pPr>
        <w:ind w:left="360" w:hanging="360"/>
        <w:contextualSpacing/>
        <w:rPr>
          <w:sz w:val="22"/>
          <w:szCs w:val="22"/>
        </w:rPr>
      </w:pPr>
      <w:r w:rsidRPr="00A21B85">
        <w:rPr>
          <w:sz w:val="22"/>
          <w:szCs w:val="22"/>
        </w:rPr>
        <w:t xml:space="preserve">Clergue, C., Dellinger, M., Buss, H.L., </w:t>
      </w:r>
      <w:proofErr w:type="spellStart"/>
      <w:r w:rsidRPr="00A21B85">
        <w:rPr>
          <w:sz w:val="22"/>
          <w:szCs w:val="22"/>
        </w:rPr>
        <w:t>Gaillardet</w:t>
      </w:r>
      <w:proofErr w:type="spellEnd"/>
      <w:r w:rsidRPr="00A21B85">
        <w:rPr>
          <w:sz w:val="22"/>
          <w:szCs w:val="22"/>
        </w:rPr>
        <w:t xml:space="preserve">, J., Benedetti, M.F., Dessert, C., 2015. Influence of atmospheric deposits and secondary minerals on Li isotopes budget in a highly weathered catchment, Guadeloupe (Lesser Antilles). Chemical Geology 414, 28–41. </w:t>
      </w:r>
      <w:r w:rsidRPr="00A21B85">
        <w:rPr>
          <w:color w:val="0000FF"/>
          <w:sz w:val="22"/>
          <w:szCs w:val="22"/>
        </w:rPr>
        <w:t xml:space="preserve">https://doi.org/10.1016/j.chemgeo.2015.08.015 </w:t>
      </w:r>
    </w:p>
    <w:p w14:paraId="0E703692" w14:textId="77777777" w:rsidR="00A21B85" w:rsidRPr="00A21B85" w:rsidRDefault="00A21B85" w:rsidP="00A21B85">
      <w:pPr>
        <w:ind w:left="360" w:hanging="360"/>
        <w:contextualSpacing/>
        <w:rPr>
          <w:sz w:val="22"/>
          <w:szCs w:val="22"/>
        </w:rPr>
      </w:pPr>
      <w:r w:rsidRPr="00A21B85">
        <w:rPr>
          <w:sz w:val="22"/>
          <w:szCs w:val="22"/>
        </w:rPr>
        <w:t xml:space="preserve">Dellinger, M., Bouchez, J., </w:t>
      </w:r>
      <w:proofErr w:type="spellStart"/>
      <w:r w:rsidRPr="00A21B85">
        <w:rPr>
          <w:sz w:val="22"/>
          <w:szCs w:val="22"/>
        </w:rPr>
        <w:t>Gaillardet</w:t>
      </w:r>
      <w:proofErr w:type="spellEnd"/>
      <w:r w:rsidRPr="00A21B85">
        <w:rPr>
          <w:sz w:val="22"/>
          <w:szCs w:val="22"/>
        </w:rPr>
        <w:t xml:space="preserve">, J., Faure, L., Moureau, J., 2017. Tracing weathering regimes using the lithium isotope composition of detrital sediments. Geology 45, 411–414. </w:t>
      </w:r>
      <w:hyperlink r:id="rId20" w:history="1">
        <w:r w:rsidRPr="00A21B85">
          <w:rPr>
            <w:rStyle w:val="Hyperlink"/>
            <w:sz w:val="22"/>
            <w:szCs w:val="22"/>
          </w:rPr>
          <w:t>https://doi.org/10.1130/G38671.1</w:t>
        </w:r>
      </w:hyperlink>
    </w:p>
    <w:p w14:paraId="3E3C5BF6" w14:textId="580C3862" w:rsidR="00A21B85" w:rsidRPr="00A21B85" w:rsidRDefault="00A21B85" w:rsidP="00A21B85">
      <w:pPr>
        <w:ind w:left="360" w:hanging="360"/>
        <w:contextualSpacing/>
        <w:rPr>
          <w:sz w:val="22"/>
          <w:szCs w:val="22"/>
        </w:rPr>
      </w:pPr>
      <w:r w:rsidRPr="00A21B85">
        <w:rPr>
          <w:rFonts w:eastAsiaTheme="minorHAnsi"/>
          <w:sz w:val="22"/>
          <w:szCs w:val="22"/>
        </w:rPr>
        <w:t>Edwards, N. R., &amp; Marsh, R. (2005). Uncertainties due to transport-parameter sensitivity in an efficient 3-D ocean-climate model. Climate dynamics, 24, 415-433</w:t>
      </w:r>
      <w:r w:rsidRPr="00A21B85">
        <w:rPr>
          <w:sz w:val="22"/>
          <w:szCs w:val="22"/>
        </w:rPr>
        <w:t xml:space="preserve">Hülse, D., Lau, K.V., van de Velde, S.J., Arndt, S., Meyer, K.M., Ridgwell, A., 2021. End-Permian marine extinction due to temperature-driven nutrient recycling and </w:t>
      </w:r>
      <w:proofErr w:type="spellStart"/>
      <w:r w:rsidRPr="00A21B85">
        <w:rPr>
          <w:sz w:val="22"/>
          <w:szCs w:val="22"/>
        </w:rPr>
        <w:t>euxinia</w:t>
      </w:r>
      <w:proofErr w:type="spellEnd"/>
      <w:r w:rsidRPr="00A21B85">
        <w:rPr>
          <w:sz w:val="22"/>
          <w:szCs w:val="22"/>
        </w:rPr>
        <w:t xml:space="preserve">. Nat. </w:t>
      </w:r>
      <w:proofErr w:type="spellStart"/>
      <w:r w:rsidRPr="00A21B85">
        <w:rPr>
          <w:sz w:val="22"/>
          <w:szCs w:val="22"/>
        </w:rPr>
        <w:t>Geosci</w:t>
      </w:r>
      <w:proofErr w:type="spellEnd"/>
      <w:r w:rsidRPr="00A21B85">
        <w:rPr>
          <w:sz w:val="22"/>
          <w:szCs w:val="22"/>
        </w:rPr>
        <w:t xml:space="preserve">. 14, 862–867. </w:t>
      </w:r>
      <w:hyperlink r:id="rId21" w:history="1">
        <w:r w:rsidRPr="00A21B85">
          <w:rPr>
            <w:rStyle w:val="Hyperlink"/>
            <w:sz w:val="22"/>
            <w:szCs w:val="22"/>
          </w:rPr>
          <w:t>https://doi.org/10.1038/s41561-021-00829-7</w:t>
        </w:r>
      </w:hyperlink>
    </w:p>
    <w:p w14:paraId="46083C2B" w14:textId="77777777" w:rsidR="00A21B85" w:rsidRPr="00A21B85" w:rsidRDefault="00A21B85" w:rsidP="00A21B85">
      <w:pPr>
        <w:ind w:left="360" w:hanging="360"/>
        <w:contextualSpacing/>
        <w:rPr>
          <w:sz w:val="22"/>
          <w:szCs w:val="22"/>
        </w:rPr>
      </w:pPr>
      <w:r w:rsidRPr="00A21B85">
        <w:rPr>
          <w:sz w:val="22"/>
          <w:szCs w:val="22"/>
        </w:rPr>
        <w:t xml:space="preserve">Jones, G.D., Whitaker, F.F., Smart, P.L., Sanford, W.E., 2002. Fate of reflux brines in carbonate platforms. Geology 30, 371–374. </w:t>
      </w:r>
      <w:hyperlink r:id="rId22" w:history="1">
        <w:r w:rsidRPr="00A21B85">
          <w:rPr>
            <w:rStyle w:val="Hyperlink"/>
            <w:sz w:val="22"/>
            <w:szCs w:val="22"/>
          </w:rPr>
          <w:t>https://doi.org/10.1130/0091-7613(2002)030&lt;0371:FORBIC&gt;2.0.CO;2</w:t>
        </w:r>
      </w:hyperlink>
    </w:p>
    <w:p w14:paraId="43072A7E" w14:textId="77777777" w:rsidR="00A21B85" w:rsidRPr="00A21B85" w:rsidRDefault="00A21B85" w:rsidP="00A21B85">
      <w:pPr>
        <w:ind w:left="360" w:hanging="360"/>
        <w:contextualSpacing/>
        <w:rPr>
          <w:sz w:val="22"/>
          <w:szCs w:val="22"/>
          <w:lang w:val="de-DE"/>
        </w:rPr>
      </w:pPr>
      <w:proofErr w:type="spellStart"/>
      <w:r w:rsidRPr="00A21B85">
        <w:rPr>
          <w:sz w:val="22"/>
          <w:szCs w:val="22"/>
        </w:rPr>
        <w:t>Kalderon</w:t>
      </w:r>
      <w:proofErr w:type="spellEnd"/>
      <w:r w:rsidRPr="00A21B85">
        <w:rPr>
          <w:sz w:val="22"/>
          <w:szCs w:val="22"/>
        </w:rPr>
        <w:t xml:space="preserve">-Asael, B., </w:t>
      </w:r>
      <w:proofErr w:type="spellStart"/>
      <w:r w:rsidRPr="00A21B85">
        <w:rPr>
          <w:sz w:val="22"/>
          <w:szCs w:val="22"/>
        </w:rPr>
        <w:t>Katchinoff</w:t>
      </w:r>
      <w:proofErr w:type="spellEnd"/>
      <w:r w:rsidRPr="00A21B85">
        <w:rPr>
          <w:sz w:val="22"/>
          <w:szCs w:val="22"/>
        </w:rPr>
        <w:t xml:space="preserve">, J.A.R., </w:t>
      </w:r>
      <w:proofErr w:type="spellStart"/>
      <w:r w:rsidRPr="00A21B85">
        <w:rPr>
          <w:sz w:val="22"/>
          <w:szCs w:val="22"/>
        </w:rPr>
        <w:t>Planavsky</w:t>
      </w:r>
      <w:proofErr w:type="spellEnd"/>
      <w:r w:rsidRPr="00A21B85">
        <w:rPr>
          <w:sz w:val="22"/>
          <w:szCs w:val="22"/>
        </w:rPr>
        <w:t xml:space="preserve">, N.J., Hood, A. v. S., Dellinger, M., </w:t>
      </w:r>
      <w:proofErr w:type="spellStart"/>
      <w:r w:rsidRPr="00A21B85">
        <w:rPr>
          <w:sz w:val="22"/>
          <w:szCs w:val="22"/>
        </w:rPr>
        <w:t>Bellefroid</w:t>
      </w:r>
      <w:proofErr w:type="spellEnd"/>
      <w:r w:rsidRPr="00A21B85">
        <w:rPr>
          <w:sz w:val="22"/>
          <w:szCs w:val="22"/>
        </w:rPr>
        <w:t xml:space="preserve">, E.J., Jones, D.S., Hofmann, A., Ossa, F.O., Macdonald, F.A., Wang, C., Isson, T.T., Murphy, J.G., Higgins, J.A., West, A.J., Wallace, M.W., Asael, D., Pogge von Strandmann, P.A.E., 2021. A lithium-isotope perspective on the evolution of carbon and silicon cycles. </w:t>
      </w:r>
      <w:r w:rsidRPr="00A21B85">
        <w:rPr>
          <w:sz w:val="22"/>
          <w:szCs w:val="22"/>
          <w:lang w:val="de-DE"/>
        </w:rPr>
        <w:t xml:space="preserve">Nature 595, 394–398. </w:t>
      </w:r>
      <w:hyperlink r:id="rId23" w:history="1">
        <w:r w:rsidRPr="00A21B85">
          <w:rPr>
            <w:rStyle w:val="Hyperlink"/>
            <w:sz w:val="22"/>
            <w:szCs w:val="22"/>
            <w:lang w:val="de-DE"/>
          </w:rPr>
          <w:t>https://doi.org/10.1038/s41586-021-03612-1</w:t>
        </w:r>
      </w:hyperlink>
    </w:p>
    <w:p w14:paraId="3C4F38BC" w14:textId="77777777" w:rsidR="00A21B85" w:rsidRDefault="00A21B85" w:rsidP="00A21B85">
      <w:pPr>
        <w:ind w:left="360" w:hanging="360"/>
        <w:contextualSpacing/>
        <w:rPr>
          <w:sz w:val="22"/>
          <w:szCs w:val="22"/>
        </w:rPr>
      </w:pPr>
      <w:r w:rsidRPr="00A21B85">
        <w:rPr>
          <w:sz w:val="22"/>
          <w:szCs w:val="22"/>
        </w:rPr>
        <w:t xml:space="preserve">Lau, K.V., Lyons, T.W., Maher, K., 2020. Uranium reduction and isotopic fractionation in reducing sediments: Insights from reactive transport modeling. </w:t>
      </w:r>
      <w:proofErr w:type="spellStart"/>
      <w:r w:rsidRPr="00A21B85">
        <w:rPr>
          <w:sz w:val="22"/>
          <w:szCs w:val="22"/>
        </w:rPr>
        <w:t>Geochim</w:t>
      </w:r>
      <w:proofErr w:type="spellEnd"/>
      <w:r w:rsidRPr="00A21B85">
        <w:rPr>
          <w:sz w:val="22"/>
          <w:szCs w:val="22"/>
        </w:rPr>
        <w:t xml:space="preserve"> </w:t>
      </w:r>
      <w:proofErr w:type="spellStart"/>
      <w:r w:rsidRPr="00A21B85">
        <w:rPr>
          <w:sz w:val="22"/>
          <w:szCs w:val="22"/>
        </w:rPr>
        <w:t>Cosmochim</w:t>
      </w:r>
      <w:proofErr w:type="spellEnd"/>
      <w:r w:rsidRPr="00A21B85">
        <w:rPr>
          <w:sz w:val="22"/>
          <w:szCs w:val="22"/>
        </w:rPr>
        <w:t xml:space="preserve"> Acta 287, 65–92. </w:t>
      </w:r>
      <w:hyperlink r:id="rId24" w:history="1">
        <w:r w:rsidRPr="00A21B85">
          <w:rPr>
            <w:rStyle w:val="Hyperlink"/>
            <w:sz w:val="22"/>
            <w:szCs w:val="22"/>
          </w:rPr>
          <w:t>https://doi.org/10.1016/j.gca.2020.01.021</w:t>
        </w:r>
      </w:hyperlink>
    </w:p>
    <w:p w14:paraId="6B2236BE" w14:textId="02E8E96A" w:rsidR="00A21B85" w:rsidRPr="00A21B85" w:rsidRDefault="00A21B85" w:rsidP="00A21B85">
      <w:pPr>
        <w:ind w:left="360" w:hanging="360"/>
        <w:contextualSpacing/>
        <w:rPr>
          <w:sz w:val="22"/>
          <w:szCs w:val="22"/>
        </w:rPr>
      </w:pPr>
      <w:r w:rsidRPr="00A21B85">
        <w:rPr>
          <w:sz w:val="22"/>
          <w:szCs w:val="22"/>
        </w:rPr>
        <w:t xml:space="preserve">Li, W., Liu, X.-M., Chadwick, O.A., 2020. Lithium isotope behavior in Hawaiian </w:t>
      </w:r>
      <w:proofErr w:type="spellStart"/>
      <w:r w:rsidRPr="00A21B85">
        <w:rPr>
          <w:sz w:val="22"/>
          <w:szCs w:val="22"/>
        </w:rPr>
        <w:t>regoliths</w:t>
      </w:r>
      <w:proofErr w:type="spellEnd"/>
      <w:r w:rsidRPr="00A21B85">
        <w:rPr>
          <w:sz w:val="22"/>
          <w:szCs w:val="22"/>
        </w:rPr>
        <w:t xml:space="preserve">: Soil-atmosphere- biosphere exchanges. </w:t>
      </w:r>
      <w:proofErr w:type="spellStart"/>
      <w:r w:rsidRPr="00A21B85">
        <w:rPr>
          <w:sz w:val="22"/>
          <w:szCs w:val="22"/>
        </w:rPr>
        <w:t>Geochimica</w:t>
      </w:r>
      <w:proofErr w:type="spellEnd"/>
      <w:r w:rsidRPr="00A21B85">
        <w:rPr>
          <w:sz w:val="22"/>
          <w:szCs w:val="22"/>
        </w:rPr>
        <w:t xml:space="preserve"> et </w:t>
      </w:r>
      <w:proofErr w:type="spellStart"/>
      <w:r w:rsidRPr="00A21B85">
        <w:rPr>
          <w:sz w:val="22"/>
          <w:szCs w:val="22"/>
        </w:rPr>
        <w:t>Cosmochimica</w:t>
      </w:r>
      <w:proofErr w:type="spellEnd"/>
      <w:r w:rsidRPr="00A21B85">
        <w:rPr>
          <w:sz w:val="22"/>
          <w:szCs w:val="22"/>
        </w:rPr>
        <w:t xml:space="preserve"> Acta 285, 175–192. </w:t>
      </w:r>
    </w:p>
    <w:p w14:paraId="3DD0B25B" w14:textId="77777777" w:rsidR="00A21B85" w:rsidRPr="00A21B85" w:rsidRDefault="00A21B85" w:rsidP="00A21B85">
      <w:pPr>
        <w:ind w:left="360" w:hanging="360"/>
        <w:contextualSpacing/>
        <w:rPr>
          <w:sz w:val="22"/>
          <w:szCs w:val="22"/>
        </w:rPr>
      </w:pPr>
      <w:r w:rsidRPr="00A21B85">
        <w:rPr>
          <w:sz w:val="22"/>
          <w:szCs w:val="22"/>
        </w:rPr>
        <w:t xml:space="preserve">Li, F., Penman, D., </w:t>
      </w:r>
      <w:proofErr w:type="spellStart"/>
      <w:r w:rsidRPr="00A21B85">
        <w:rPr>
          <w:sz w:val="22"/>
          <w:szCs w:val="22"/>
        </w:rPr>
        <w:t>Planavsky</w:t>
      </w:r>
      <w:proofErr w:type="spellEnd"/>
      <w:r w:rsidRPr="00A21B85">
        <w:rPr>
          <w:sz w:val="22"/>
          <w:szCs w:val="22"/>
        </w:rPr>
        <w:t xml:space="preserve">, N., Knudsen, A., Zhao, M., Wang, X., Isson, T., Huang, K., Wei, G., Zhang, S., Shen, J., Zhu, X., Shen, B., 2021. Reverse weathering may amplify post-Snowball atmospheric carbon dioxide levels. </w:t>
      </w:r>
      <w:proofErr w:type="spellStart"/>
      <w:r w:rsidRPr="00A21B85">
        <w:rPr>
          <w:sz w:val="22"/>
          <w:szCs w:val="22"/>
        </w:rPr>
        <w:t>Precamb</w:t>
      </w:r>
      <w:proofErr w:type="spellEnd"/>
      <w:r w:rsidRPr="00A21B85">
        <w:rPr>
          <w:sz w:val="22"/>
          <w:szCs w:val="22"/>
        </w:rPr>
        <w:t xml:space="preserve"> Res 364, 106279. </w:t>
      </w:r>
      <w:hyperlink r:id="rId25" w:history="1">
        <w:r w:rsidRPr="00A21B85">
          <w:rPr>
            <w:rStyle w:val="Hyperlink"/>
            <w:sz w:val="22"/>
            <w:szCs w:val="22"/>
          </w:rPr>
          <w:t>https://doi.org/10.1016/j.precamres.2021.106279</w:t>
        </w:r>
      </w:hyperlink>
    </w:p>
    <w:p w14:paraId="741E08C7" w14:textId="77777777" w:rsidR="00A21B85" w:rsidRPr="00A21B85" w:rsidRDefault="00A21B85" w:rsidP="00A21B85">
      <w:pPr>
        <w:ind w:left="360" w:hanging="360"/>
        <w:contextualSpacing/>
        <w:rPr>
          <w:sz w:val="22"/>
          <w:szCs w:val="22"/>
        </w:rPr>
      </w:pPr>
      <w:r w:rsidRPr="00A21B85">
        <w:rPr>
          <w:sz w:val="22"/>
          <w:szCs w:val="22"/>
        </w:rPr>
        <w:t xml:space="preserve">Liu, C., Pogge Von Strandmann, P.A.E., Tarbuck, G., Wilson, D.J., 2022. Experimental Investigation of Oxide Leaching Methods for Li Isotopes. </w:t>
      </w:r>
      <w:proofErr w:type="spellStart"/>
      <w:r w:rsidRPr="00A21B85">
        <w:rPr>
          <w:sz w:val="22"/>
          <w:szCs w:val="22"/>
        </w:rPr>
        <w:t>Geostandard</w:t>
      </w:r>
      <w:proofErr w:type="spellEnd"/>
      <w:r w:rsidRPr="00A21B85">
        <w:rPr>
          <w:sz w:val="22"/>
          <w:szCs w:val="22"/>
        </w:rPr>
        <w:t xml:space="preserve"> </w:t>
      </w:r>
      <w:proofErr w:type="spellStart"/>
      <w:r w:rsidRPr="00A21B85">
        <w:rPr>
          <w:sz w:val="22"/>
          <w:szCs w:val="22"/>
        </w:rPr>
        <w:t>Geoanalytic</w:t>
      </w:r>
      <w:proofErr w:type="spellEnd"/>
      <w:r w:rsidRPr="00A21B85">
        <w:rPr>
          <w:sz w:val="22"/>
          <w:szCs w:val="22"/>
        </w:rPr>
        <w:t xml:space="preserve"> Res 46, 493–518. </w:t>
      </w:r>
      <w:hyperlink r:id="rId26" w:history="1">
        <w:r w:rsidRPr="00A21B85">
          <w:rPr>
            <w:rStyle w:val="Hyperlink"/>
            <w:sz w:val="22"/>
            <w:szCs w:val="22"/>
          </w:rPr>
          <w:t>https://doi.org/10.1111/ggr.12441</w:t>
        </w:r>
      </w:hyperlink>
    </w:p>
    <w:p w14:paraId="5E4A74A6" w14:textId="77777777" w:rsidR="00A21B85" w:rsidRPr="00A21B85" w:rsidRDefault="00A21B85" w:rsidP="00A21B85">
      <w:pPr>
        <w:ind w:left="360" w:hanging="360"/>
        <w:contextualSpacing/>
        <w:rPr>
          <w:sz w:val="22"/>
          <w:szCs w:val="22"/>
        </w:rPr>
      </w:pPr>
      <w:r w:rsidRPr="00A21B85">
        <w:rPr>
          <w:sz w:val="22"/>
          <w:szCs w:val="22"/>
        </w:rPr>
        <w:lastRenderedPageBreak/>
        <w:t xml:space="preserve">Maris, C.R.P., Bender, M.L., Froelich, P.N., Barnes, R., Luedtke, N.A., 1984. Chemical evidence for advection of hydrothermal solutions in the sediments of the Galapagos Mounds Hydrothermal Field. </w:t>
      </w:r>
      <w:proofErr w:type="spellStart"/>
      <w:r w:rsidRPr="00A21B85">
        <w:rPr>
          <w:sz w:val="22"/>
          <w:szCs w:val="22"/>
        </w:rPr>
        <w:t>Geochim</w:t>
      </w:r>
      <w:proofErr w:type="spellEnd"/>
      <w:r w:rsidRPr="00A21B85">
        <w:rPr>
          <w:sz w:val="22"/>
          <w:szCs w:val="22"/>
        </w:rPr>
        <w:t xml:space="preserve"> </w:t>
      </w:r>
      <w:proofErr w:type="spellStart"/>
      <w:r w:rsidRPr="00A21B85">
        <w:rPr>
          <w:sz w:val="22"/>
          <w:szCs w:val="22"/>
        </w:rPr>
        <w:t>Cosmochim</w:t>
      </w:r>
      <w:proofErr w:type="spellEnd"/>
      <w:r w:rsidRPr="00A21B85">
        <w:rPr>
          <w:sz w:val="22"/>
          <w:szCs w:val="22"/>
        </w:rPr>
        <w:t xml:space="preserve"> Acta 48, 2331–2346. </w:t>
      </w:r>
      <w:hyperlink r:id="rId27" w:history="1">
        <w:r w:rsidRPr="00A21B85">
          <w:rPr>
            <w:rStyle w:val="Hyperlink"/>
            <w:sz w:val="22"/>
            <w:szCs w:val="22"/>
          </w:rPr>
          <w:t>https://doi.org/10.1016/0016-7037(84)90229-1</w:t>
        </w:r>
      </w:hyperlink>
    </w:p>
    <w:p w14:paraId="4DCFEDFF" w14:textId="446B0E54" w:rsidR="00A21B85" w:rsidRPr="00A21B85" w:rsidRDefault="00A21B85" w:rsidP="00A21B85">
      <w:pPr>
        <w:ind w:left="360" w:hanging="360"/>
        <w:contextualSpacing/>
        <w:rPr>
          <w:sz w:val="22"/>
          <w:szCs w:val="22"/>
        </w:rPr>
      </w:pPr>
      <w:r w:rsidRPr="00A21B85">
        <w:rPr>
          <w:rFonts w:eastAsiaTheme="minorHAnsi"/>
          <w:sz w:val="22"/>
          <w:szCs w:val="22"/>
        </w:rPr>
        <w:t xml:space="preserve">Marsh, R., Müller, S. A., Yool, A., &amp; Edwards, N. R. (2011). Incorporation of the C-GOLDSTEIN efficient climate model into the GENIE framework:" </w:t>
      </w:r>
      <w:proofErr w:type="spellStart"/>
      <w:r w:rsidRPr="00A21B85">
        <w:rPr>
          <w:rFonts w:eastAsiaTheme="minorHAnsi"/>
          <w:sz w:val="22"/>
          <w:szCs w:val="22"/>
        </w:rPr>
        <w:t>eb_go_gs</w:t>
      </w:r>
      <w:proofErr w:type="spellEnd"/>
      <w:r w:rsidRPr="00A21B85">
        <w:rPr>
          <w:rFonts w:eastAsiaTheme="minorHAnsi"/>
          <w:sz w:val="22"/>
          <w:szCs w:val="22"/>
        </w:rPr>
        <w:t xml:space="preserve">" configurations of GENIE. Geoscientific Model Development, 4(4), 957-992. </w:t>
      </w:r>
      <w:r w:rsidRPr="00A21B85">
        <w:rPr>
          <w:sz w:val="22"/>
          <w:szCs w:val="22"/>
        </w:rPr>
        <w:t xml:space="preserve">Penniston-Dorland, S.C., Bebout, G.E., Pogge Von Strandmann, P.A.E., Elliott, T., Sorensen, S.S., 2012. Lithium and its isotopes as tracers of subduction zone fluids and metasomatic processes: Evidence from the Catalina Schist, California, USA. </w:t>
      </w:r>
      <w:proofErr w:type="spellStart"/>
      <w:r w:rsidRPr="00A21B85">
        <w:rPr>
          <w:sz w:val="22"/>
          <w:szCs w:val="22"/>
        </w:rPr>
        <w:t>Geochim</w:t>
      </w:r>
      <w:proofErr w:type="spellEnd"/>
      <w:r w:rsidRPr="00A21B85">
        <w:rPr>
          <w:sz w:val="22"/>
          <w:szCs w:val="22"/>
        </w:rPr>
        <w:t xml:space="preserve"> </w:t>
      </w:r>
      <w:proofErr w:type="spellStart"/>
      <w:r w:rsidRPr="00A21B85">
        <w:rPr>
          <w:sz w:val="22"/>
          <w:szCs w:val="22"/>
        </w:rPr>
        <w:t>Cosmochim</w:t>
      </w:r>
      <w:proofErr w:type="spellEnd"/>
      <w:r w:rsidRPr="00A21B85">
        <w:rPr>
          <w:sz w:val="22"/>
          <w:szCs w:val="22"/>
        </w:rPr>
        <w:t xml:space="preserve"> Acta 77, 530–545. </w:t>
      </w:r>
      <w:hyperlink r:id="rId28" w:history="1">
        <w:r w:rsidRPr="00A21B85">
          <w:rPr>
            <w:rStyle w:val="Hyperlink"/>
            <w:sz w:val="22"/>
            <w:szCs w:val="22"/>
          </w:rPr>
          <w:t>https://doi.org/10.1016/j.gca.2011.10.038</w:t>
        </w:r>
      </w:hyperlink>
    </w:p>
    <w:p w14:paraId="7DAE47D2" w14:textId="77777777" w:rsidR="00A21B85" w:rsidRPr="00A21B85" w:rsidRDefault="00A21B85" w:rsidP="00A21B85">
      <w:pPr>
        <w:ind w:left="360" w:hanging="360"/>
        <w:contextualSpacing/>
        <w:rPr>
          <w:sz w:val="22"/>
          <w:szCs w:val="22"/>
        </w:rPr>
      </w:pPr>
      <w:r w:rsidRPr="00A21B85">
        <w:rPr>
          <w:sz w:val="22"/>
          <w:szCs w:val="22"/>
        </w:rPr>
        <w:t xml:space="preserve">Pogge Von Strandmann, P.A.E., Kasemann, S.A., Wimpenny, J.B., 2020. Lithium and Lithium Isotopes in Earth’s Surface Cycles. Elements 16, 253–258. </w:t>
      </w:r>
      <w:hyperlink r:id="rId29" w:history="1">
        <w:r w:rsidRPr="00A21B85">
          <w:rPr>
            <w:rStyle w:val="Hyperlink"/>
            <w:sz w:val="22"/>
            <w:szCs w:val="22"/>
          </w:rPr>
          <w:t>https://doi.org/10.2138/gselements.16.4.253</w:t>
        </w:r>
      </w:hyperlink>
    </w:p>
    <w:p w14:paraId="41FA36B6" w14:textId="77777777" w:rsidR="00A21B85" w:rsidRPr="00A21B85" w:rsidRDefault="00A21B85" w:rsidP="00A21B85">
      <w:pPr>
        <w:ind w:left="360" w:hanging="360"/>
        <w:contextualSpacing/>
        <w:rPr>
          <w:sz w:val="22"/>
          <w:szCs w:val="22"/>
        </w:rPr>
      </w:pPr>
      <w:r w:rsidRPr="00A21B85">
        <w:rPr>
          <w:sz w:val="22"/>
          <w:szCs w:val="22"/>
        </w:rPr>
        <w:t xml:space="preserve">Rauzi, S., Foster, W.J., Takahashi, S., </w:t>
      </w:r>
      <w:proofErr w:type="spellStart"/>
      <w:r w:rsidRPr="00A21B85">
        <w:rPr>
          <w:sz w:val="22"/>
          <w:szCs w:val="22"/>
        </w:rPr>
        <w:t>Isson</w:t>
      </w:r>
      <w:proofErr w:type="spellEnd"/>
      <w:r w:rsidRPr="00A21B85">
        <w:rPr>
          <w:sz w:val="22"/>
          <w:szCs w:val="22"/>
        </w:rPr>
        <w:t xml:space="preserve">, T., 2024. Lithium isotopic evidence for enhanced reverse weathering during the Early Triassic warm period. Proc. Natl. Acad. Sci. 121(32), e23188601221. </w:t>
      </w:r>
      <w:hyperlink r:id="rId30" w:history="1">
        <w:r w:rsidRPr="00A21B85">
          <w:rPr>
            <w:rStyle w:val="Hyperlink"/>
            <w:sz w:val="22"/>
            <w:szCs w:val="22"/>
          </w:rPr>
          <w:t>https://doi.org/10.1073/pnas.2318860121</w:t>
        </w:r>
      </w:hyperlink>
      <w:r w:rsidRPr="00A21B85">
        <w:rPr>
          <w:sz w:val="22"/>
          <w:szCs w:val="22"/>
        </w:rPr>
        <w:t xml:space="preserve"> </w:t>
      </w:r>
    </w:p>
    <w:p w14:paraId="76F1F9A1" w14:textId="77777777" w:rsidR="00A21B85" w:rsidRPr="00A21B85" w:rsidRDefault="00A21B85" w:rsidP="00A21B85">
      <w:pPr>
        <w:contextualSpacing/>
        <w:rPr>
          <w:color w:val="000000"/>
          <w:sz w:val="22"/>
          <w:szCs w:val="22"/>
        </w:rPr>
      </w:pPr>
      <w:r w:rsidRPr="00A21B85">
        <w:rPr>
          <w:color w:val="000000"/>
          <w:sz w:val="22"/>
          <w:szCs w:val="22"/>
        </w:rPr>
        <w:t xml:space="preserve">Scotese, C.R., 2014b. Atlas of Phanerozoic Rainfall Maps (Mollweide Projection), Volumes 1-6, </w:t>
      </w:r>
    </w:p>
    <w:p w14:paraId="3C029697" w14:textId="77777777" w:rsidR="00A21B85" w:rsidRPr="00A21B85" w:rsidRDefault="00A21B85" w:rsidP="00A21B85">
      <w:pPr>
        <w:ind w:firstLine="450"/>
        <w:contextualSpacing/>
        <w:rPr>
          <w:color w:val="000000"/>
          <w:sz w:val="22"/>
          <w:szCs w:val="22"/>
        </w:rPr>
      </w:pPr>
      <w:r w:rsidRPr="00A21B85">
        <w:rPr>
          <w:color w:val="000000"/>
          <w:sz w:val="22"/>
          <w:szCs w:val="22"/>
        </w:rPr>
        <w:t>PALEOMAP Atlas for ArcGIS, PALEOMAP Project, Evanston, IL.</w:t>
      </w:r>
    </w:p>
    <w:p w14:paraId="3F06B869" w14:textId="77777777" w:rsidR="00A21B85" w:rsidRPr="00A21B85" w:rsidRDefault="00A21B85" w:rsidP="00A21B85">
      <w:pPr>
        <w:ind w:left="360" w:hanging="360"/>
        <w:contextualSpacing/>
        <w:rPr>
          <w:sz w:val="22"/>
          <w:szCs w:val="22"/>
        </w:rPr>
      </w:pPr>
      <w:r w:rsidRPr="00A21B85">
        <w:rPr>
          <w:sz w:val="22"/>
          <w:szCs w:val="22"/>
        </w:rPr>
        <w:t xml:space="preserve">Shan, E., Xiao, Y., Wang, Y.-Y., Tan, D., Sun, H., 2024. Lithium isotopic compositions of the Neoarchean </w:t>
      </w:r>
      <w:proofErr w:type="spellStart"/>
      <w:r w:rsidRPr="00A21B85">
        <w:rPr>
          <w:sz w:val="22"/>
          <w:szCs w:val="22"/>
        </w:rPr>
        <w:t>Huoqiu</w:t>
      </w:r>
      <w:proofErr w:type="spellEnd"/>
      <w:r w:rsidRPr="00A21B85">
        <w:rPr>
          <w:sz w:val="22"/>
          <w:szCs w:val="22"/>
        </w:rPr>
        <w:t xml:space="preserve"> BIF and the Paleoproterozoic </w:t>
      </w:r>
      <w:proofErr w:type="spellStart"/>
      <w:r w:rsidRPr="00A21B85">
        <w:rPr>
          <w:sz w:val="22"/>
          <w:szCs w:val="22"/>
        </w:rPr>
        <w:t>Yuanjiacun</w:t>
      </w:r>
      <w:proofErr w:type="spellEnd"/>
      <w:r w:rsidRPr="00A21B85">
        <w:rPr>
          <w:sz w:val="22"/>
          <w:szCs w:val="22"/>
        </w:rPr>
        <w:t xml:space="preserve"> BIF from North China Craton: Implications for the triggering mechanism of the Great Oxidation Event. Precambrian Research 411, 107527. </w:t>
      </w:r>
      <w:hyperlink r:id="rId31" w:history="1">
        <w:r w:rsidRPr="00A21B85">
          <w:rPr>
            <w:rStyle w:val="Hyperlink"/>
            <w:sz w:val="22"/>
            <w:szCs w:val="22"/>
          </w:rPr>
          <w:t>https://doi.org/10.1016/j.precamres.2024.107527</w:t>
        </w:r>
      </w:hyperlink>
    </w:p>
    <w:p w14:paraId="3DB1A54D" w14:textId="77777777" w:rsidR="00A21B85" w:rsidRPr="00A21B85" w:rsidRDefault="00A21B85" w:rsidP="00A21B85">
      <w:pPr>
        <w:ind w:left="360" w:hanging="360"/>
        <w:contextualSpacing/>
        <w:rPr>
          <w:sz w:val="22"/>
          <w:szCs w:val="22"/>
        </w:rPr>
      </w:pPr>
      <w:r w:rsidRPr="00A21B85">
        <w:rPr>
          <w:sz w:val="22"/>
          <w:szCs w:val="22"/>
        </w:rPr>
        <w:t>Shaw, D.B., Weaver, C.E., 1965. The Mineralogical Composition of Shales. Journal of Sedimentary Petrology 35, 213–222.</w:t>
      </w:r>
    </w:p>
    <w:p w14:paraId="61DC298A" w14:textId="77777777" w:rsidR="00A21B85" w:rsidRPr="00A21B85" w:rsidRDefault="00A21B85" w:rsidP="00A21B85">
      <w:pPr>
        <w:ind w:left="360" w:hanging="360"/>
        <w:contextualSpacing/>
        <w:rPr>
          <w:sz w:val="22"/>
          <w:szCs w:val="22"/>
        </w:rPr>
      </w:pPr>
      <w:r w:rsidRPr="00A21B85">
        <w:rPr>
          <w:sz w:val="22"/>
          <w:szCs w:val="22"/>
        </w:rPr>
        <w:t xml:space="preserve">Wei, G.-Y., Wei, W., Wang, D., Li, T., Yang, X., Shields, G.A., Zhang, F., Li, G., Chen, T., Yang, T., Ling, H.-F., 2020. Enhanced chemical weathering triggered an expansion of euxinic seawater in the aftermath of the </w:t>
      </w:r>
      <w:proofErr w:type="spellStart"/>
      <w:r w:rsidRPr="00A21B85">
        <w:rPr>
          <w:sz w:val="22"/>
          <w:szCs w:val="22"/>
        </w:rPr>
        <w:t>Sturtian</w:t>
      </w:r>
      <w:proofErr w:type="spellEnd"/>
      <w:r w:rsidRPr="00A21B85">
        <w:rPr>
          <w:sz w:val="22"/>
          <w:szCs w:val="22"/>
        </w:rPr>
        <w:t xml:space="preserve"> glaciation. Earth and Planetary Science Letters 539, 116244. </w:t>
      </w:r>
      <w:hyperlink r:id="rId32" w:history="1">
        <w:r w:rsidRPr="00A21B85">
          <w:rPr>
            <w:rStyle w:val="Hyperlink"/>
            <w:sz w:val="22"/>
            <w:szCs w:val="22"/>
          </w:rPr>
          <w:t>https://doi.org/10.1016/j.epsl.2020.116244</w:t>
        </w:r>
      </w:hyperlink>
    </w:p>
    <w:p w14:paraId="56328A0B" w14:textId="77777777" w:rsidR="00A21B85" w:rsidRPr="00A21B85" w:rsidRDefault="00A21B85" w:rsidP="00A21B85">
      <w:pPr>
        <w:ind w:left="360" w:hanging="360"/>
        <w:contextualSpacing/>
        <w:rPr>
          <w:sz w:val="22"/>
          <w:szCs w:val="22"/>
        </w:rPr>
      </w:pPr>
      <w:r w:rsidRPr="00A21B85">
        <w:rPr>
          <w:sz w:val="22"/>
          <w:szCs w:val="22"/>
        </w:rPr>
        <w:t xml:space="preserve">Wei, G.-Y., Zhao, M., Sperling, E.A., Gaines, R.R., </w:t>
      </w:r>
      <w:proofErr w:type="spellStart"/>
      <w:r w:rsidRPr="00A21B85">
        <w:rPr>
          <w:sz w:val="22"/>
          <w:szCs w:val="22"/>
        </w:rPr>
        <w:t>Kalderon</w:t>
      </w:r>
      <w:proofErr w:type="spellEnd"/>
      <w:r w:rsidRPr="00A21B85">
        <w:rPr>
          <w:sz w:val="22"/>
          <w:szCs w:val="22"/>
        </w:rPr>
        <w:t xml:space="preserve">-Asael, B., Shen, J., Li, C., Zhang, F., Li, G., Zhou, C., Cai, C., Chen, D., Xiao, K.-Q., Jiang, L., Ling, H.-F., </w:t>
      </w:r>
      <w:proofErr w:type="spellStart"/>
      <w:r w:rsidRPr="00A21B85">
        <w:rPr>
          <w:sz w:val="22"/>
          <w:szCs w:val="22"/>
        </w:rPr>
        <w:t>Planavsky</w:t>
      </w:r>
      <w:proofErr w:type="spellEnd"/>
      <w:r w:rsidRPr="00A21B85">
        <w:rPr>
          <w:sz w:val="22"/>
          <w:szCs w:val="22"/>
        </w:rPr>
        <w:t xml:space="preserve">, N.J., Tarhan, L.G., 2024. Lithium isotopic constraints on the evolution of continental clay mineral factory and marine oxygenation in the earliest Paleozoic Era. Sci. Adv. 10, eadk2152. </w:t>
      </w:r>
      <w:hyperlink r:id="rId33" w:history="1">
        <w:r w:rsidRPr="00A21B85">
          <w:rPr>
            <w:rStyle w:val="Hyperlink"/>
            <w:sz w:val="22"/>
            <w:szCs w:val="22"/>
          </w:rPr>
          <w:t>https://doi.org/10.1126/sciadv.adk2152</w:t>
        </w:r>
      </w:hyperlink>
    </w:p>
    <w:p w14:paraId="780354BC" w14:textId="77777777" w:rsidR="00A21B85" w:rsidRDefault="00A21B85" w:rsidP="00A21B85">
      <w:pPr>
        <w:ind w:left="360" w:hanging="360"/>
        <w:contextualSpacing/>
        <w:rPr>
          <w:sz w:val="22"/>
          <w:szCs w:val="22"/>
        </w:rPr>
      </w:pPr>
      <w:r w:rsidRPr="00A21B85">
        <w:rPr>
          <w:sz w:val="22"/>
          <w:szCs w:val="22"/>
        </w:rPr>
        <w:t xml:space="preserve">Yaalon, D.H., 1962. Mineral Composition of the Average Shale. Clay Minerals 5, 31–36. </w:t>
      </w:r>
      <w:hyperlink r:id="rId34" w:history="1">
        <w:r w:rsidRPr="00A21B85">
          <w:rPr>
            <w:rStyle w:val="Hyperlink"/>
            <w:sz w:val="22"/>
            <w:szCs w:val="22"/>
          </w:rPr>
          <w:t>https://doi.org/10.1180/claymin.1962.5.27.05</w:t>
        </w:r>
      </w:hyperlink>
    </w:p>
    <w:p w14:paraId="625512F4" w14:textId="30599704" w:rsidR="002C5755" w:rsidRPr="00A21B85" w:rsidRDefault="00A21B85" w:rsidP="00A21B85">
      <w:pPr>
        <w:ind w:left="360" w:hanging="360"/>
        <w:contextualSpacing/>
        <w:rPr>
          <w:sz w:val="22"/>
          <w:szCs w:val="22"/>
        </w:rPr>
      </w:pPr>
      <w:r w:rsidRPr="00A21B85">
        <w:rPr>
          <w:sz w:val="22"/>
          <w:szCs w:val="22"/>
        </w:rPr>
        <w:t xml:space="preserve">Yang, C., Yang, S., Vigier, N., 2023. Li isotopic variations of particulate non-silicate phases during estuarine water mixing. </w:t>
      </w:r>
      <w:proofErr w:type="spellStart"/>
      <w:r w:rsidRPr="00A21B85">
        <w:rPr>
          <w:sz w:val="22"/>
          <w:szCs w:val="22"/>
        </w:rPr>
        <w:t>Geochim</w:t>
      </w:r>
      <w:proofErr w:type="spellEnd"/>
      <w:r w:rsidRPr="00A21B85">
        <w:rPr>
          <w:sz w:val="22"/>
          <w:szCs w:val="22"/>
        </w:rPr>
        <w:t xml:space="preserve"> </w:t>
      </w:r>
      <w:proofErr w:type="spellStart"/>
      <w:r w:rsidRPr="00A21B85">
        <w:rPr>
          <w:sz w:val="22"/>
          <w:szCs w:val="22"/>
        </w:rPr>
        <w:t>Cosmochim</w:t>
      </w:r>
      <w:proofErr w:type="spellEnd"/>
      <w:r w:rsidRPr="00A21B85">
        <w:rPr>
          <w:sz w:val="22"/>
          <w:szCs w:val="22"/>
        </w:rPr>
        <w:t xml:space="preserve"> Acta 354, 229–239.</w:t>
      </w:r>
    </w:p>
    <w:sectPr w:rsidR="002C5755" w:rsidRPr="00A21B85" w:rsidSect="00AD013C">
      <w:footerReference w:type="even" r:id="rId35"/>
      <w:footerReference w:type="default" r:id="rId3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68066B" w14:textId="77777777" w:rsidR="00F54738" w:rsidRDefault="00F54738" w:rsidP="009B20BB">
      <w:r>
        <w:separator/>
      </w:r>
    </w:p>
  </w:endnote>
  <w:endnote w:type="continuationSeparator" w:id="0">
    <w:p w14:paraId="1551A28C" w14:textId="77777777" w:rsidR="00F54738" w:rsidRDefault="00F54738" w:rsidP="009B20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9047190"/>
      <w:docPartObj>
        <w:docPartGallery w:val="Page Numbers (Bottom of Page)"/>
        <w:docPartUnique/>
      </w:docPartObj>
    </w:sdtPr>
    <w:sdtContent>
      <w:p w14:paraId="08C52747" w14:textId="71E1B072" w:rsidR="00E60203" w:rsidRDefault="00E6020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147C109" w14:textId="77777777" w:rsidR="00E60203" w:rsidRDefault="00E60203" w:rsidP="00E6020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heme="majorHAnsi" w:hAnsiTheme="majorHAnsi" w:cstheme="majorHAnsi"/>
      </w:rPr>
      <w:id w:val="-156383161"/>
      <w:docPartObj>
        <w:docPartGallery w:val="Page Numbers (Bottom of Page)"/>
        <w:docPartUnique/>
      </w:docPartObj>
    </w:sdtPr>
    <w:sdtContent>
      <w:p w14:paraId="08DBC7AE" w14:textId="0CB1A057" w:rsidR="00E60203" w:rsidRPr="00E60203" w:rsidRDefault="00E60203">
        <w:pPr>
          <w:pStyle w:val="Footer"/>
          <w:framePr w:wrap="none" w:vAnchor="text" w:hAnchor="margin" w:xAlign="right" w:y="1"/>
          <w:rPr>
            <w:rStyle w:val="PageNumber"/>
            <w:rFonts w:asciiTheme="majorHAnsi" w:hAnsiTheme="majorHAnsi" w:cstheme="majorHAnsi"/>
          </w:rPr>
        </w:pPr>
        <w:r w:rsidRPr="00E60203">
          <w:rPr>
            <w:rStyle w:val="PageNumber"/>
            <w:rFonts w:asciiTheme="majorHAnsi" w:hAnsiTheme="majorHAnsi" w:cstheme="majorHAnsi"/>
          </w:rPr>
          <w:fldChar w:fldCharType="begin"/>
        </w:r>
        <w:r w:rsidRPr="00E60203">
          <w:rPr>
            <w:rStyle w:val="PageNumber"/>
            <w:rFonts w:asciiTheme="majorHAnsi" w:hAnsiTheme="majorHAnsi" w:cstheme="majorHAnsi"/>
          </w:rPr>
          <w:instrText xml:space="preserve"> PAGE </w:instrText>
        </w:r>
        <w:r w:rsidRPr="00E60203">
          <w:rPr>
            <w:rStyle w:val="PageNumber"/>
            <w:rFonts w:asciiTheme="majorHAnsi" w:hAnsiTheme="majorHAnsi" w:cstheme="majorHAnsi"/>
          </w:rPr>
          <w:fldChar w:fldCharType="separate"/>
        </w:r>
        <w:r w:rsidRPr="00E60203">
          <w:rPr>
            <w:rStyle w:val="PageNumber"/>
            <w:rFonts w:asciiTheme="majorHAnsi" w:hAnsiTheme="majorHAnsi" w:cstheme="majorHAnsi"/>
            <w:noProof/>
          </w:rPr>
          <w:t>1</w:t>
        </w:r>
        <w:r w:rsidRPr="00E60203">
          <w:rPr>
            <w:rStyle w:val="PageNumber"/>
            <w:rFonts w:asciiTheme="majorHAnsi" w:hAnsiTheme="majorHAnsi" w:cstheme="majorHAnsi"/>
          </w:rPr>
          <w:fldChar w:fldCharType="end"/>
        </w:r>
      </w:p>
    </w:sdtContent>
  </w:sdt>
  <w:p w14:paraId="415F8771" w14:textId="77777777" w:rsidR="00E60203" w:rsidRDefault="00E60203" w:rsidP="00E6020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6F0FA7" w14:textId="77777777" w:rsidR="00F54738" w:rsidRDefault="00F54738" w:rsidP="009B20BB">
      <w:r>
        <w:separator/>
      </w:r>
    </w:p>
  </w:footnote>
  <w:footnote w:type="continuationSeparator" w:id="0">
    <w:p w14:paraId="36956CD8" w14:textId="77777777" w:rsidR="00F54738" w:rsidRDefault="00F54738" w:rsidP="009B20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6A3DB3"/>
    <w:multiLevelType w:val="hybridMultilevel"/>
    <w:tmpl w:val="83B8BB8E"/>
    <w:lvl w:ilvl="0" w:tplc="74B4C240">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4400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CCE"/>
    <w:rsid w:val="00003F73"/>
    <w:rsid w:val="00014D46"/>
    <w:rsid w:val="00031CCE"/>
    <w:rsid w:val="00032806"/>
    <w:rsid w:val="00034DC0"/>
    <w:rsid w:val="0008703E"/>
    <w:rsid w:val="00090386"/>
    <w:rsid w:val="000A7E3A"/>
    <w:rsid w:val="000B2EAF"/>
    <w:rsid w:val="00100647"/>
    <w:rsid w:val="0011054E"/>
    <w:rsid w:val="0012628E"/>
    <w:rsid w:val="00134BD9"/>
    <w:rsid w:val="0016353E"/>
    <w:rsid w:val="00170A4A"/>
    <w:rsid w:val="00174ADC"/>
    <w:rsid w:val="00190657"/>
    <w:rsid w:val="0019717A"/>
    <w:rsid w:val="001D75AB"/>
    <w:rsid w:val="001D7D9D"/>
    <w:rsid w:val="001E28A4"/>
    <w:rsid w:val="001E467D"/>
    <w:rsid w:val="001E50DE"/>
    <w:rsid w:val="001E6269"/>
    <w:rsid w:val="0022731D"/>
    <w:rsid w:val="00253115"/>
    <w:rsid w:val="002716E6"/>
    <w:rsid w:val="00290566"/>
    <w:rsid w:val="002A1BFF"/>
    <w:rsid w:val="002B7CCA"/>
    <w:rsid w:val="002C5755"/>
    <w:rsid w:val="002D5D24"/>
    <w:rsid w:val="002E3E91"/>
    <w:rsid w:val="002E6F48"/>
    <w:rsid w:val="002F55D2"/>
    <w:rsid w:val="003049AE"/>
    <w:rsid w:val="00314C7C"/>
    <w:rsid w:val="00320A26"/>
    <w:rsid w:val="00321E5E"/>
    <w:rsid w:val="00324BE0"/>
    <w:rsid w:val="00326F26"/>
    <w:rsid w:val="0033045C"/>
    <w:rsid w:val="00335E98"/>
    <w:rsid w:val="00343053"/>
    <w:rsid w:val="00344D45"/>
    <w:rsid w:val="003547B5"/>
    <w:rsid w:val="00367F3A"/>
    <w:rsid w:val="00377DC3"/>
    <w:rsid w:val="003860D9"/>
    <w:rsid w:val="003D5788"/>
    <w:rsid w:val="003E41AA"/>
    <w:rsid w:val="003E7C89"/>
    <w:rsid w:val="00403573"/>
    <w:rsid w:val="00406874"/>
    <w:rsid w:val="00412CCE"/>
    <w:rsid w:val="00413758"/>
    <w:rsid w:val="00435E53"/>
    <w:rsid w:val="00445BB6"/>
    <w:rsid w:val="004745FE"/>
    <w:rsid w:val="00482803"/>
    <w:rsid w:val="004B56F7"/>
    <w:rsid w:val="004C0ACF"/>
    <w:rsid w:val="005010D1"/>
    <w:rsid w:val="00506093"/>
    <w:rsid w:val="00536FB9"/>
    <w:rsid w:val="00537663"/>
    <w:rsid w:val="0054007C"/>
    <w:rsid w:val="005924BC"/>
    <w:rsid w:val="005B5338"/>
    <w:rsid w:val="005B6E28"/>
    <w:rsid w:val="005B7DA9"/>
    <w:rsid w:val="00613CBC"/>
    <w:rsid w:val="00621239"/>
    <w:rsid w:val="006235BF"/>
    <w:rsid w:val="006308DE"/>
    <w:rsid w:val="006344DD"/>
    <w:rsid w:val="00651BCC"/>
    <w:rsid w:val="006719C7"/>
    <w:rsid w:val="0069458A"/>
    <w:rsid w:val="006F4F3D"/>
    <w:rsid w:val="00742E27"/>
    <w:rsid w:val="007546CA"/>
    <w:rsid w:val="00763D18"/>
    <w:rsid w:val="00774D45"/>
    <w:rsid w:val="00775D17"/>
    <w:rsid w:val="00785467"/>
    <w:rsid w:val="0079357A"/>
    <w:rsid w:val="007A6848"/>
    <w:rsid w:val="007C09DD"/>
    <w:rsid w:val="007C3CDF"/>
    <w:rsid w:val="007D04B4"/>
    <w:rsid w:val="007D14BC"/>
    <w:rsid w:val="007F2511"/>
    <w:rsid w:val="00802B35"/>
    <w:rsid w:val="008164AD"/>
    <w:rsid w:val="008320BE"/>
    <w:rsid w:val="00870ABD"/>
    <w:rsid w:val="00887663"/>
    <w:rsid w:val="008A5A5C"/>
    <w:rsid w:val="008B1D98"/>
    <w:rsid w:val="008B3DC3"/>
    <w:rsid w:val="008E7196"/>
    <w:rsid w:val="008F0359"/>
    <w:rsid w:val="009147B9"/>
    <w:rsid w:val="009223FC"/>
    <w:rsid w:val="00923957"/>
    <w:rsid w:val="00943038"/>
    <w:rsid w:val="00960F2C"/>
    <w:rsid w:val="00981756"/>
    <w:rsid w:val="0098577C"/>
    <w:rsid w:val="009A4724"/>
    <w:rsid w:val="009B20BB"/>
    <w:rsid w:val="009B5D7C"/>
    <w:rsid w:val="00A21B85"/>
    <w:rsid w:val="00A248FC"/>
    <w:rsid w:val="00A50E4D"/>
    <w:rsid w:val="00A8060E"/>
    <w:rsid w:val="00AB56C1"/>
    <w:rsid w:val="00AC33CF"/>
    <w:rsid w:val="00AD013C"/>
    <w:rsid w:val="00AD61D0"/>
    <w:rsid w:val="00AE0C6B"/>
    <w:rsid w:val="00AE5DCE"/>
    <w:rsid w:val="00B04829"/>
    <w:rsid w:val="00B13AC1"/>
    <w:rsid w:val="00B31769"/>
    <w:rsid w:val="00B47C7D"/>
    <w:rsid w:val="00B9519E"/>
    <w:rsid w:val="00BB4712"/>
    <w:rsid w:val="00BD248E"/>
    <w:rsid w:val="00BF2843"/>
    <w:rsid w:val="00BF5522"/>
    <w:rsid w:val="00C15193"/>
    <w:rsid w:val="00C22402"/>
    <w:rsid w:val="00C31EAC"/>
    <w:rsid w:val="00C3670D"/>
    <w:rsid w:val="00C42841"/>
    <w:rsid w:val="00C76002"/>
    <w:rsid w:val="00C8180B"/>
    <w:rsid w:val="00C85036"/>
    <w:rsid w:val="00CA2F5E"/>
    <w:rsid w:val="00CB3493"/>
    <w:rsid w:val="00CC2545"/>
    <w:rsid w:val="00CD1EA9"/>
    <w:rsid w:val="00CD41BE"/>
    <w:rsid w:val="00CF0E69"/>
    <w:rsid w:val="00CF3667"/>
    <w:rsid w:val="00CF3AC2"/>
    <w:rsid w:val="00CF6E38"/>
    <w:rsid w:val="00D0386B"/>
    <w:rsid w:val="00D1191C"/>
    <w:rsid w:val="00D23204"/>
    <w:rsid w:val="00D37257"/>
    <w:rsid w:val="00D572C8"/>
    <w:rsid w:val="00D63392"/>
    <w:rsid w:val="00D72490"/>
    <w:rsid w:val="00D76A28"/>
    <w:rsid w:val="00D84EF1"/>
    <w:rsid w:val="00D86B7C"/>
    <w:rsid w:val="00D8759D"/>
    <w:rsid w:val="00D911F4"/>
    <w:rsid w:val="00DD40AF"/>
    <w:rsid w:val="00E056C9"/>
    <w:rsid w:val="00E10D94"/>
    <w:rsid w:val="00E15CF2"/>
    <w:rsid w:val="00E45F82"/>
    <w:rsid w:val="00E50701"/>
    <w:rsid w:val="00E547D2"/>
    <w:rsid w:val="00E5483B"/>
    <w:rsid w:val="00E60203"/>
    <w:rsid w:val="00E82689"/>
    <w:rsid w:val="00E87D12"/>
    <w:rsid w:val="00E97433"/>
    <w:rsid w:val="00EB2E8C"/>
    <w:rsid w:val="00EC4915"/>
    <w:rsid w:val="00EC7C45"/>
    <w:rsid w:val="00ED6AE4"/>
    <w:rsid w:val="00EF1DC1"/>
    <w:rsid w:val="00F2016D"/>
    <w:rsid w:val="00F4481F"/>
    <w:rsid w:val="00F54738"/>
    <w:rsid w:val="00F57F3A"/>
    <w:rsid w:val="00FA030E"/>
    <w:rsid w:val="00FA1A22"/>
    <w:rsid w:val="00FA537E"/>
    <w:rsid w:val="00FB23C9"/>
    <w:rsid w:val="00FC2C43"/>
    <w:rsid w:val="00FC7D89"/>
    <w:rsid w:val="00FE58C1"/>
    <w:rsid w:val="00FE75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E5BE1"/>
  <w15:chartTrackingRefBased/>
  <w15:docId w15:val="{1554003E-7CC8-9345-BE18-C6D4038A0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7E3A"/>
    <w:rPr>
      <w:rFonts w:ascii="Times New Roman" w:eastAsia="Times New Roman" w:hAnsi="Times New Roman" w:cs="Times New Roman"/>
    </w:rPr>
  </w:style>
  <w:style w:type="paragraph" w:styleId="Heading2">
    <w:name w:val="heading 2"/>
    <w:basedOn w:val="Normal"/>
    <w:link w:val="Heading2Char"/>
    <w:uiPriority w:val="9"/>
    <w:unhideWhenUsed/>
    <w:qFormat/>
    <w:rsid w:val="00CC2545"/>
    <w:pPr>
      <w:widowControl w:val="0"/>
      <w:ind w:left="1317" w:hanging="498"/>
      <w:outlineLvl w:val="1"/>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qFormat/>
    <w:rsid w:val="00031CCE"/>
    <w:rPr>
      <w:sz w:val="16"/>
      <w:szCs w:val="16"/>
    </w:rPr>
  </w:style>
  <w:style w:type="paragraph" w:styleId="CommentText">
    <w:name w:val="annotation text"/>
    <w:basedOn w:val="Normal"/>
    <w:link w:val="CommentTextChar"/>
    <w:uiPriority w:val="99"/>
    <w:unhideWhenUsed/>
    <w:qFormat/>
    <w:rsid w:val="00031CCE"/>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qFormat/>
    <w:rsid w:val="00031CCE"/>
    <w:rPr>
      <w:sz w:val="20"/>
      <w:szCs w:val="20"/>
    </w:rPr>
  </w:style>
  <w:style w:type="character" w:customStyle="1" w:styleId="Heading2Char">
    <w:name w:val="Heading 2 Char"/>
    <w:basedOn w:val="DefaultParagraphFont"/>
    <w:link w:val="Heading2"/>
    <w:uiPriority w:val="9"/>
    <w:qFormat/>
    <w:rsid w:val="00CC2545"/>
    <w:rPr>
      <w:rFonts w:ascii="Times New Roman" w:eastAsia="Times New Roman" w:hAnsi="Times New Roman" w:cs="Times New Roman"/>
      <w:b/>
      <w:bCs/>
      <w:sz w:val="22"/>
      <w:szCs w:val="22"/>
    </w:rPr>
  </w:style>
  <w:style w:type="paragraph" w:styleId="Revision">
    <w:name w:val="Revision"/>
    <w:hidden/>
    <w:uiPriority w:val="99"/>
    <w:semiHidden/>
    <w:rsid w:val="00FB23C9"/>
  </w:style>
  <w:style w:type="paragraph" w:styleId="CommentSubject">
    <w:name w:val="annotation subject"/>
    <w:basedOn w:val="CommentText"/>
    <w:next w:val="CommentText"/>
    <w:link w:val="CommentSubjectChar"/>
    <w:uiPriority w:val="99"/>
    <w:semiHidden/>
    <w:unhideWhenUsed/>
    <w:rsid w:val="00FB23C9"/>
    <w:rPr>
      <w:b/>
      <w:bCs/>
    </w:rPr>
  </w:style>
  <w:style w:type="character" w:customStyle="1" w:styleId="CommentSubjectChar">
    <w:name w:val="Comment Subject Char"/>
    <w:basedOn w:val="CommentTextChar"/>
    <w:link w:val="CommentSubject"/>
    <w:uiPriority w:val="99"/>
    <w:semiHidden/>
    <w:rsid w:val="00FB23C9"/>
    <w:rPr>
      <w:b/>
      <w:bCs/>
      <w:sz w:val="20"/>
      <w:szCs w:val="20"/>
    </w:rPr>
  </w:style>
  <w:style w:type="paragraph" w:styleId="BalloonText">
    <w:name w:val="Balloon Text"/>
    <w:basedOn w:val="Normal"/>
    <w:link w:val="BalloonTextChar"/>
    <w:uiPriority w:val="99"/>
    <w:semiHidden/>
    <w:unhideWhenUsed/>
    <w:rsid w:val="00482803"/>
    <w:rPr>
      <w:sz w:val="18"/>
      <w:szCs w:val="18"/>
    </w:rPr>
  </w:style>
  <w:style w:type="character" w:customStyle="1" w:styleId="BalloonTextChar">
    <w:name w:val="Balloon Text Char"/>
    <w:basedOn w:val="DefaultParagraphFont"/>
    <w:link w:val="BalloonText"/>
    <w:uiPriority w:val="99"/>
    <w:semiHidden/>
    <w:rsid w:val="00482803"/>
    <w:rPr>
      <w:rFonts w:ascii="Times New Roman" w:hAnsi="Times New Roman" w:cs="Times New Roman"/>
      <w:sz w:val="18"/>
      <w:szCs w:val="18"/>
    </w:rPr>
  </w:style>
  <w:style w:type="paragraph" w:styleId="Header">
    <w:name w:val="header"/>
    <w:basedOn w:val="Normal"/>
    <w:link w:val="HeaderChar"/>
    <w:uiPriority w:val="99"/>
    <w:unhideWhenUsed/>
    <w:rsid w:val="009B20BB"/>
    <w:pPr>
      <w:tabs>
        <w:tab w:val="center" w:pos="4680"/>
        <w:tab w:val="right" w:pos="9360"/>
      </w:tabs>
    </w:pPr>
  </w:style>
  <w:style w:type="character" w:customStyle="1" w:styleId="HeaderChar">
    <w:name w:val="Header Char"/>
    <w:basedOn w:val="DefaultParagraphFont"/>
    <w:link w:val="Header"/>
    <w:uiPriority w:val="99"/>
    <w:rsid w:val="009B20BB"/>
    <w:rPr>
      <w:rFonts w:ascii="Times New Roman" w:eastAsia="Times New Roman" w:hAnsi="Times New Roman" w:cs="Times New Roman"/>
    </w:rPr>
  </w:style>
  <w:style w:type="paragraph" w:styleId="Footer">
    <w:name w:val="footer"/>
    <w:basedOn w:val="Normal"/>
    <w:link w:val="FooterChar"/>
    <w:uiPriority w:val="99"/>
    <w:unhideWhenUsed/>
    <w:rsid w:val="009B20BB"/>
    <w:pPr>
      <w:tabs>
        <w:tab w:val="center" w:pos="4680"/>
        <w:tab w:val="right" w:pos="9360"/>
      </w:tabs>
    </w:pPr>
  </w:style>
  <w:style w:type="character" w:customStyle="1" w:styleId="FooterChar">
    <w:name w:val="Footer Char"/>
    <w:basedOn w:val="DefaultParagraphFont"/>
    <w:link w:val="Footer"/>
    <w:uiPriority w:val="99"/>
    <w:rsid w:val="009B20BB"/>
    <w:rPr>
      <w:rFonts w:ascii="Times New Roman" w:eastAsia="Times New Roman" w:hAnsi="Times New Roman" w:cs="Times New Roman"/>
    </w:rPr>
  </w:style>
  <w:style w:type="character" w:styleId="Hyperlink">
    <w:name w:val="Hyperlink"/>
    <w:basedOn w:val="DefaultParagraphFont"/>
    <w:uiPriority w:val="99"/>
    <w:unhideWhenUsed/>
    <w:rsid w:val="000A7E3A"/>
    <w:rPr>
      <w:color w:val="0000FF"/>
      <w:u w:val="single"/>
    </w:rPr>
  </w:style>
  <w:style w:type="character" w:styleId="PageNumber">
    <w:name w:val="page number"/>
    <w:basedOn w:val="DefaultParagraphFont"/>
    <w:uiPriority w:val="99"/>
    <w:semiHidden/>
    <w:unhideWhenUsed/>
    <w:rsid w:val="00E60203"/>
  </w:style>
  <w:style w:type="character" w:styleId="FollowedHyperlink">
    <w:name w:val="FollowedHyperlink"/>
    <w:basedOn w:val="DefaultParagraphFont"/>
    <w:uiPriority w:val="99"/>
    <w:semiHidden/>
    <w:unhideWhenUsed/>
    <w:rsid w:val="00A21B85"/>
    <w:rPr>
      <w:color w:val="954F72" w:themeColor="followedHyperlink"/>
      <w:u w:val="single"/>
    </w:rPr>
  </w:style>
  <w:style w:type="paragraph" w:styleId="NormalWeb">
    <w:name w:val="Normal (Web)"/>
    <w:basedOn w:val="Normal"/>
    <w:uiPriority w:val="99"/>
    <w:semiHidden/>
    <w:unhideWhenUsed/>
    <w:rsid w:val="00A21B8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47070">
      <w:bodyDiv w:val="1"/>
      <w:marLeft w:val="0"/>
      <w:marRight w:val="0"/>
      <w:marTop w:val="0"/>
      <w:marBottom w:val="0"/>
      <w:divBdr>
        <w:top w:val="none" w:sz="0" w:space="0" w:color="auto"/>
        <w:left w:val="none" w:sz="0" w:space="0" w:color="auto"/>
        <w:bottom w:val="none" w:sz="0" w:space="0" w:color="auto"/>
        <w:right w:val="none" w:sz="0" w:space="0" w:color="auto"/>
      </w:divBdr>
      <w:divsChild>
        <w:div w:id="239099733">
          <w:marLeft w:val="0"/>
          <w:marRight w:val="0"/>
          <w:marTop w:val="0"/>
          <w:marBottom w:val="0"/>
          <w:divBdr>
            <w:top w:val="none" w:sz="0" w:space="0" w:color="auto"/>
            <w:left w:val="none" w:sz="0" w:space="0" w:color="auto"/>
            <w:bottom w:val="none" w:sz="0" w:space="0" w:color="auto"/>
            <w:right w:val="none" w:sz="0" w:space="0" w:color="auto"/>
          </w:divBdr>
        </w:div>
        <w:div w:id="1293369916">
          <w:marLeft w:val="0"/>
          <w:marRight w:val="0"/>
          <w:marTop w:val="0"/>
          <w:marBottom w:val="0"/>
          <w:divBdr>
            <w:top w:val="none" w:sz="0" w:space="0" w:color="auto"/>
            <w:left w:val="none" w:sz="0" w:space="0" w:color="auto"/>
            <w:bottom w:val="none" w:sz="0" w:space="0" w:color="auto"/>
            <w:right w:val="none" w:sz="0" w:space="0" w:color="auto"/>
          </w:divBdr>
        </w:div>
        <w:div w:id="1717047437">
          <w:marLeft w:val="0"/>
          <w:marRight w:val="0"/>
          <w:marTop w:val="0"/>
          <w:marBottom w:val="0"/>
          <w:divBdr>
            <w:top w:val="none" w:sz="0" w:space="0" w:color="auto"/>
            <w:left w:val="none" w:sz="0" w:space="0" w:color="auto"/>
            <w:bottom w:val="none" w:sz="0" w:space="0" w:color="auto"/>
            <w:right w:val="none" w:sz="0" w:space="0" w:color="auto"/>
          </w:divBdr>
        </w:div>
        <w:div w:id="1733429228">
          <w:marLeft w:val="0"/>
          <w:marRight w:val="0"/>
          <w:marTop w:val="0"/>
          <w:marBottom w:val="0"/>
          <w:divBdr>
            <w:top w:val="none" w:sz="0" w:space="0" w:color="auto"/>
            <w:left w:val="none" w:sz="0" w:space="0" w:color="auto"/>
            <w:bottom w:val="none" w:sz="0" w:space="0" w:color="auto"/>
            <w:right w:val="none" w:sz="0" w:space="0" w:color="auto"/>
          </w:divBdr>
        </w:div>
      </w:divsChild>
    </w:div>
    <w:div w:id="369576851">
      <w:bodyDiv w:val="1"/>
      <w:marLeft w:val="0"/>
      <w:marRight w:val="0"/>
      <w:marTop w:val="0"/>
      <w:marBottom w:val="0"/>
      <w:divBdr>
        <w:top w:val="none" w:sz="0" w:space="0" w:color="auto"/>
        <w:left w:val="none" w:sz="0" w:space="0" w:color="auto"/>
        <w:bottom w:val="none" w:sz="0" w:space="0" w:color="auto"/>
        <w:right w:val="none" w:sz="0" w:space="0" w:color="auto"/>
      </w:divBdr>
      <w:divsChild>
        <w:div w:id="57093360">
          <w:marLeft w:val="480"/>
          <w:marRight w:val="0"/>
          <w:marTop w:val="0"/>
          <w:marBottom w:val="0"/>
          <w:divBdr>
            <w:top w:val="none" w:sz="0" w:space="0" w:color="auto"/>
            <w:left w:val="none" w:sz="0" w:space="0" w:color="auto"/>
            <w:bottom w:val="none" w:sz="0" w:space="0" w:color="auto"/>
            <w:right w:val="none" w:sz="0" w:space="0" w:color="auto"/>
          </w:divBdr>
          <w:divsChild>
            <w:div w:id="6559761">
              <w:marLeft w:val="0"/>
              <w:marRight w:val="0"/>
              <w:marTop w:val="0"/>
              <w:marBottom w:val="0"/>
              <w:divBdr>
                <w:top w:val="none" w:sz="0" w:space="0" w:color="auto"/>
                <w:left w:val="none" w:sz="0" w:space="0" w:color="auto"/>
                <w:bottom w:val="none" w:sz="0" w:space="0" w:color="auto"/>
                <w:right w:val="none" w:sz="0" w:space="0" w:color="auto"/>
              </w:divBdr>
            </w:div>
            <w:div w:id="31618503">
              <w:marLeft w:val="0"/>
              <w:marRight w:val="0"/>
              <w:marTop w:val="0"/>
              <w:marBottom w:val="0"/>
              <w:divBdr>
                <w:top w:val="none" w:sz="0" w:space="0" w:color="auto"/>
                <w:left w:val="none" w:sz="0" w:space="0" w:color="auto"/>
                <w:bottom w:val="none" w:sz="0" w:space="0" w:color="auto"/>
                <w:right w:val="none" w:sz="0" w:space="0" w:color="auto"/>
              </w:divBdr>
            </w:div>
            <w:div w:id="70011730">
              <w:marLeft w:val="0"/>
              <w:marRight w:val="0"/>
              <w:marTop w:val="0"/>
              <w:marBottom w:val="0"/>
              <w:divBdr>
                <w:top w:val="none" w:sz="0" w:space="0" w:color="auto"/>
                <w:left w:val="none" w:sz="0" w:space="0" w:color="auto"/>
                <w:bottom w:val="none" w:sz="0" w:space="0" w:color="auto"/>
                <w:right w:val="none" w:sz="0" w:space="0" w:color="auto"/>
              </w:divBdr>
            </w:div>
            <w:div w:id="70280418">
              <w:marLeft w:val="0"/>
              <w:marRight w:val="0"/>
              <w:marTop w:val="0"/>
              <w:marBottom w:val="0"/>
              <w:divBdr>
                <w:top w:val="none" w:sz="0" w:space="0" w:color="auto"/>
                <w:left w:val="none" w:sz="0" w:space="0" w:color="auto"/>
                <w:bottom w:val="none" w:sz="0" w:space="0" w:color="auto"/>
                <w:right w:val="none" w:sz="0" w:space="0" w:color="auto"/>
              </w:divBdr>
            </w:div>
            <w:div w:id="210768867">
              <w:marLeft w:val="0"/>
              <w:marRight w:val="0"/>
              <w:marTop w:val="0"/>
              <w:marBottom w:val="0"/>
              <w:divBdr>
                <w:top w:val="none" w:sz="0" w:space="0" w:color="auto"/>
                <w:left w:val="none" w:sz="0" w:space="0" w:color="auto"/>
                <w:bottom w:val="none" w:sz="0" w:space="0" w:color="auto"/>
                <w:right w:val="none" w:sz="0" w:space="0" w:color="auto"/>
              </w:divBdr>
            </w:div>
            <w:div w:id="217742245">
              <w:marLeft w:val="0"/>
              <w:marRight w:val="0"/>
              <w:marTop w:val="0"/>
              <w:marBottom w:val="0"/>
              <w:divBdr>
                <w:top w:val="none" w:sz="0" w:space="0" w:color="auto"/>
                <w:left w:val="none" w:sz="0" w:space="0" w:color="auto"/>
                <w:bottom w:val="none" w:sz="0" w:space="0" w:color="auto"/>
                <w:right w:val="none" w:sz="0" w:space="0" w:color="auto"/>
              </w:divBdr>
            </w:div>
            <w:div w:id="238369947">
              <w:marLeft w:val="0"/>
              <w:marRight w:val="0"/>
              <w:marTop w:val="0"/>
              <w:marBottom w:val="0"/>
              <w:divBdr>
                <w:top w:val="none" w:sz="0" w:space="0" w:color="auto"/>
                <w:left w:val="none" w:sz="0" w:space="0" w:color="auto"/>
                <w:bottom w:val="none" w:sz="0" w:space="0" w:color="auto"/>
                <w:right w:val="none" w:sz="0" w:space="0" w:color="auto"/>
              </w:divBdr>
            </w:div>
            <w:div w:id="324087201">
              <w:marLeft w:val="0"/>
              <w:marRight w:val="0"/>
              <w:marTop w:val="0"/>
              <w:marBottom w:val="0"/>
              <w:divBdr>
                <w:top w:val="none" w:sz="0" w:space="0" w:color="auto"/>
                <w:left w:val="none" w:sz="0" w:space="0" w:color="auto"/>
                <w:bottom w:val="none" w:sz="0" w:space="0" w:color="auto"/>
                <w:right w:val="none" w:sz="0" w:space="0" w:color="auto"/>
              </w:divBdr>
            </w:div>
            <w:div w:id="331302823">
              <w:marLeft w:val="0"/>
              <w:marRight w:val="0"/>
              <w:marTop w:val="0"/>
              <w:marBottom w:val="0"/>
              <w:divBdr>
                <w:top w:val="none" w:sz="0" w:space="0" w:color="auto"/>
                <w:left w:val="none" w:sz="0" w:space="0" w:color="auto"/>
                <w:bottom w:val="none" w:sz="0" w:space="0" w:color="auto"/>
                <w:right w:val="none" w:sz="0" w:space="0" w:color="auto"/>
              </w:divBdr>
            </w:div>
            <w:div w:id="351877512">
              <w:marLeft w:val="0"/>
              <w:marRight w:val="0"/>
              <w:marTop w:val="0"/>
              <w:marBottom w:val="0"/>
              <w:divBdr>
                <w:top w:val="none" w:sz="0" w:space="0" w:color="auto"/>
                <w:left w:val="none" w:sz="0" w:space="0" w:color="auto"/>
                <w:bottom w:val="none" w:sz="0" w:space="0" w:color="auto"/>
                <w:right w:val="none" w:sz="0" w:space="0" w:color="auto"/>
              </w:divBdr>
            </w:div>
            <w:div w:id="358363133">
              <w:marLeft w:val="0"/>
              <w:marRight w:val="0"/>
              <w:marTop w:val="0"/>
              <w:marBottom w:val="0"/>
              <w:divBdr>
                <w:top w:val="none" w:sz="0" w:space="0" w:color="auto"/>
                <w:left w:val="none" w:sz="0" w:space="0" w:color="auto"/>
                <w:bottom w:val="none" w:sz="0" w:space="0" w:color="auto"/>
                <w:right w:val="none" w:sz="0" w:space="0" w:color="auto"/>
              </w:divBdr>
            </w:div>
            <w:div w:id="373116262">
              <w:marLeft w:val="0"/>
              <w:marRight w:val="0"/>
              <w:marTop w:val="0"/>
              <w:marBottom w:val="0"/>
              <w:divBdr>
                <w:top w:val="none" w:sz="0" w:space="0" w:color="auto"/>
                <w:left w:val="none" w:sz="0" w:space="0" w:color="auto"/>
                <w:bottom w:val="none" w:sz="0" w:space="0" w:color="auto"/>
                <w:right w:val="none" w:sz="0" w:space="0" w:color="auto"/>
              </w:divBdr>
            </w:div>
            <w:div w:id="399518162">
              <w:marLeft w:val="0"/>
              <w:marRight w:val="0"/>
              <w:marTop w:val="0"/>
              <w:marBottom w:val="0"/>
              <w:divBdr>
                <w:top w:val="none" w:sz="0" w:space="0" w:color="auto"/>
                <w:left w:val="none" w:sz="0" w:space="0" w:color="auto"/>
                <w:bottom w:val="none" w:sz="0" w:space="0" w:color="auto"/>
                <w:right w:val="none" w:sz="0" w:space="0" w:color="auto"/>
              </w:divBdr>
            </w:div>
            <w:div w:id="400176089">
              <w:marLeft w:val="0"/>
              <w:marRight w:val="0"/>
              <w:marTop w:val="0"/>
              <w:marBottom w:val="0"/>
              <w:divBdr>
                <w:top w:val="none" w:sz="0" w:space="0" w:color="auto"/>
                <w:left w:val="none" w:sz="0" w:space="0" w:color="auto"/>
                <w:bottom w:val="none" w:sz="0" w:space="0" w:color="auto"/>
                <w:right w:val="none" w:sz="0" w:space="0" w:color="auto"/>
              </w:divBdr>
            </w:div>
            <w:div w:id="475147025">
              <w:marLeft w:val="0"/>
              <w:marRight w:val="0"/>
              <w:marTop w:val="0"/>
              <w:marBottom w:val="0"/>
              <w:divBdr>
                <w:top w:val="none" w:sz="0" w:space="0" w:color="auto"/>
                <w:left w:val="none" w:sz="0" w:space="0" w:color="auto"/>
                <w:bottom w:val="none" w:sz="0" w:space="0" w:color="auto"/>
                <w:right w:val="none" w:sz="0" w:space="0" w:color="auto"/>
              </w:divBdr>
            </w:div>
            <w:div w:id="480999994">
              <w:marLeft w:val="0"/>
              <w:marRight w:val="0"/>
              <w:marTop w:val="0"/>
              <w:marBottom w:val="0"/>
              <w:divBdr>
                <w:top w:val="none" w:sz="0" w:space="0" w:color="auto"/>
                <w:left w:val="none" w:sz="0" w:space="0" w:color="auto"/>
                <w:bottom w:val="none" w:sz="0" w:space="0" w:color="auto"/>
                <w:right w:val="none" w:sz="0" w:space="0" w:color="auto"/>
              </w:divBdr>
            </w:div>
            <w:div w:id="481429748">
              <w:marLeft w:val="0"/>
              <w:marRight w:val="0"/>
              <w:marTop w:val="0"/>
              <w:marBottom w:val="0"/>
              <w:divBdr>
                <w:top w:val="none" w:sz="0" w:space="0" w:color="auto"/>
                <w:left w:val="none" w:sz="0" w:space="0" w:color="auto"/>
                <w:bottom w:val="none" w:sz="0" w:space="0" w:color="auto"/>
                <w:right w:val="none" w:sz="0" w:space="0" w:color="auto"/>
              </w:divBdr>
            </w:div>
            <w:div w:id="525680019">
              <w:marLeft w:val="0"/>
              <w:marRight w:val="0"/>
              <w:marTop w:val="0"/>
              <w:marBottom w:val="0"/>
              <w:divBdr>
                <w:top w:val="none" w:sz="0" w:space="0" w:color="auto"/>
                <w:left w:val="none" w:sz="0" w:space="0" w:color="auto"/>
                <w:bottom w:val="none" w:sz="0" w:space="0" w:color="auto"/>
                <w:right w:val="none" w:sz="0" w:space="0" w:color="auto"/>
              </w:divBdr>
            </w:div>
            <w:div w:id="548685032">
              <w:marLeft w:val="0"/>
              <w:marRight w:val="0"/>
              <w:marTop w:val="0"/>
              <w:marBottom w:val="0"/>
              <w:divBdr>
                <w:top w:val="none" w:sz="0" w:space="0" w:color="auto"/>
                <w:left w:val="none" w:sz="0" w:space="0" w:color="auto"/>
                <w:bottom w:val="none" w:sz="0" w:space="0" w:color="auto"/>
                <w:right w:val="none" w:sz="0" w:space="0" w:color="auto"/>
              </w:divBdr>
            </w:div>
            <w:div w:id="577010760">
              <w:marLeft w:val="0"/>
              <w:marRight w:val="0"/>
              <w:marTop w:val="0"/>
              <w:marBottom w:val="0"/>
              <w:divBdr>
                <w:top w:val="none" w:sz="0" w:space="0" w:color="auto"/>
                <w:left w:val="none" w:sz="0" w:space="0" w:color="auto"/>
                <w:bottom w:val="none" w:sz="0" w:space="0" w:color="auto"/>
                <w:right w:val="none" w:sz="0" w:space="0" w:color="auto"/>
              </w:divBdr>
            </w:div>
            <w:div w:id="581068536">
              <w:marLeft w:val="0"/>
              <w:marRight w:val="0"/>
              <w:marTop w:val="0"/>
              <w:marBottom w:val="0"/>
              <w:divBdr>
                <w:top w:val="none" w:sz="0" w:space="0" w:color="auto"/>
                <w:left w:val="none" w:sz="0" w:space="0" w:color="auto"/>
                <w:bottom w:val="none" w:sz="0" w:space="0" w:color="auto"/>
                <w:right w:val="none" w:sz="0" w:space="0" w:color="auto"/>
              </w:divBdr>
            </w:div>
            <w:div w:id="620649689">
              <w:marLeft w:val="0"/>
              <w:marRight w:val="0"/>
              <w:marTop w:val="0"/>
              <w:marBottom w:val="0"/>
              <w:divBdr>
                <w:top w:val="none" w:sz="0" w:space="0" w:color="auto"/>
                <w:left w:val="none" w:sz="0" w:space="0" w:color="auto"/>
                <w:bottom w:val="none" w:sz="0" w:space="0" w:color="auto"/>
                <w:right w:val="none" w:sz="0" w:space="0" w:color="auto"/>
              </w:divBdr>
            </w:div>
            <w:div w:id="656228316">
              <w:marLeft w:val="0"/>
              <w:marRight w:val="0"/>
              <w:marTop w:val="0"/>
              <w:marBottom w:val="0"/>
              <w:divBdr>
                <w:top w:val="none" w:sz="0" w:space="0" w:color="auto"/>
                <w:left w:val="none" w:sz="0" w:space="0" w:color="auto"/>
                <w:bottom w:val="none" w:sz="0" w:space="0" w:color="auto"/>
                <w:right w:val="none" w:sz="0" w:space="0" w:color="auto"/>
              </w:divBdr>
            </w:div>
            <w:div w:id="724253177">
              <w:marLeft w:val="0"/>
              <w:marRight w:val="0"/>
              <w:marTop w:val="0"/>
              <w:marBottom w:val="0"/>
              <w:divBdr>
                <w:top w:val="none" w:sz="0" w:space="0" w:color="auto"/>
                <w:left w:val="none" w:sz="0" w:space="0" w:color="auto"/>
                <w:bottom w:val="none" w:sz="0" w:space="0" w:color="auto"/>
                <w:right w:val="none" w:sz="0" w:space="0" w:color="auto"/>
              </w:divBdr>
            </w:div>
            <w:div w:id="749036401">
              <w:marLeft w:val="0"/>
              <w:marRight w:val="0"/>
              <w:marTop w:val="0"/>
              <w:marBottom w:val="0"/>
              <w:divBdr>
                <w:top w:val="none" w:sz="0" w:space="0" w:color="auto"/>
                <w:left w:val="none" w:sz="0" w:space="0" w:color="auto"/>
                <w:bottom w:val="none" w:sz="0" w:space="0" w:color="auto"/>
                <w:right w:val="none" w:sz="0" w:space="0" w:color="auto"/>
              </w:divBdr>
            </w:div>
            <w:div w:id="776755033">
              <w:marLeft w:val="0"/>
              <w:marRight w:val="0"/>
              <w:marTop w:val="0"/>
              <w:marBottom w:val="0"/>
              <w:divBdr>
                <w:top w:val="none" w:sz="0" w:space="0" w:color="auto"/>
                <w:left w:val="none" w:sz="0" w:space="0" w:color="auto"/>
                <w:bottom w:val="none" w:sz="0" w:space="0" w:color="auto"/>
                <w:right w:val="none" w:sz="0" w:space="0" w:color="auto"/>
              </w:divBdr>
            </w:div>
            <w:div w:id="1032652882">
              <w:marLeft w:val="0"/>
              <w:marRight w:val="0"/>
              <w:marTop w:val="0"/>
              <w:marBottom w:val="0"/>
              <w:divBdr>
                <w:top w:val="none" w:sz="0" w:space="0" w:color="auto"/>
                <w:left w:val="none" w:sz="0" w:space="0" w:color="auto"/>
                <w:bottom w:val="none" w:sz="0" w:space="0" w:color="auto"/>
                <w:right w:val="none" w:sz="0" w:space="0" w:color="auto"/>
              </w:divBdr>
            </w:div>
            <w:div w:id="1037900496">
              <w:marLeft w:val="0"/>
              <w:marRight w:val="0"/>
              <w:marTop w:val="0"/>
              <w:marBottom w:val="0"/>
              <w:divBdr>
                <w:top w:val="none" w:sz="0" w:space="0" w:color="auto"/>
                <w:left w:val="none" w:sz="0" w:space="0" w:color="auto"/>
                <w:bottom w:val="none" w:sz="0" w:space="0" w:color="auto"/>
                <w:right w:val="none" w:sz="0" w:space="0" w:color="auto"/>
              </w:divBdr>
            </w:div>
            <w:div w:id="1079793182">
              <w:marLeft w:val="0"/>
              <w:marRight w:val="0"/>
              <w:marTop w:val="0"/>
              <w:marBottom w:val="0"/>
              <w:divBdr>
                <w:top w:val="none" w:sz="0" w:space="0" w:color="auto"/>
                <w:left w:val="none" w:sz="0" w:space="0" w:color="auto"/>
                <w:bottom w:val="none" w:sz="0" w:space="0" w:color="auto"/>
                <w:right w:val="none" w:sz="0" w:space="0" w:color="auto"/>
              </w:divBdr>
            </w:div>
            <w:div w:id="1323118320">
              <w:marLeft w:val="0"/>
              <w:marRight w:val="0"/>
              <w:marTop w:val="0"/>
              <w:marBottom w:val="0"/>
              <w:divBdr>
                <w:top w:val="none" w:sz="0" w:space="0" w:color="auto"/>
                <w:left w:val="none" w:sz="0" w:space="0" w:color="auto"/>
                <w:bottom w:val="none" w:sz="0" w:space="0" w:color="auto"/>
                <w:right w:val="none" w:sz="0" w:space="0" w:color="auto"/>
              </w:divBdr>
            </w:div>
            <w:div w:id="1415663720">
              <w:marLeft w:val="0"/>
              <w:marRight w:val="0"/>
              <w:marTop w:val="0"/>
              <w:marBottom w:val="0"/>
              <w:divBdr>
                <w:top w:val="none" w:sz="0" w:space="0" w:color="auto"/>
                <w:left w:val="none" w:sz="0" w:space="0" w:color="auto"/>
                <w:bottom w:val="none" w:sz="0" w:space="0" w:color="auto"/>
                <w:right w:val="none" w:sz="0" w:space="0" w:color="auto"/>
              </w:divBdr>
            </w:div>
            <w:div w:id="1423263335">
              <w:marLeft w:val="0"/>
              <w:marRight w:val="0"/>
              <w:marTop w:val="0"/>
              <w:marBottom w:val="0"/>
              <w:divBdr>
                <w:top w:val="none" w:sz="0" w:space="0" w:color="auto"/>
                <w:left w:val="none" w:sz="0" w:space="0" w:color="auto"/>
                <w:bottom w:val="none" w:sz="0" w:space="0" w:color="auto"/>
                <w:right w:val="none" w:sz="0" w:space="0" w:color="auto"/>
              </w:divBdr>
            </w:div>
            <w:div w:id="1504323581">
              <w:marLeft w:val="0"/>
              <w:marRight w:val="0"/>
              <w:marTop w:val="0"/>
              <w:marBottom w:val="0"/>
              <w:divBdr>
                <w:top w:val="none" w:sz="0" w:space="0" w:color="auto"/>
                <w:left w:val="none" w:sz="0" w:space="0" w:color="auto"/>
                <w:bottom w:val="none" w:sz="0" w:space="0" w:color="auto"/>
                <w:right w:val="none" w:sz="0" w:space="0" w:color="auto"/>
              </w:divBdr>
            </w:div>
            <w:div w:id="1584489556">
              <w:marLeft w:val="0"/>
              <w:marRight w:val="0"/>
              <w:marTop w:val="0"/>
              <w:marBottom w:val="0"/>
              <w:divBdr>
                <w:top w:val="none" w:sz="0" w:space="0" w:color="auto"/>
                <w:left w:val="none" w:sz="0" w:space="0" w:color="auto"/>
                <w:bottom w:val="none" w:sz="0" w:space="0" w:color="auto"/>
                <w:right w:val="none" w:sz="0" w:space="0" w:color="auto"/>
              </w:divBdr>
            </w:div>
            <w:div w:id="1603758308">
              <w:marLeft w:val="0"/>
              <w:marRight w:val="0"/>
              <w:marTop w:val="0"/>
              <w:marBottom w:val="0"/>
              <w:divBdr>
                <w:top w:val="none" w:sz="0" w:space="0" w:color="auto"/>
                <w:left w:val="none" w:sz="0" w:space="0" w:color="auto"/>
                <w:bottom w:val="none" w:sz="0" w:space="0" w:color="auto"/>
                <w:right w:val="none" w:sz="0" w:space="0" w:color="auto"/>
              </w:divBdr>
            </w:div>
            <w:div w:id="1707178327">
              <w:marLeft w:val="0"/>
              <w:marRight w:val="0"/>
              <w:marTop w:val="0"/>
              <w:marBottom w:val="0"/>
              <w:divBdr>
                <w:top w:val="none" w:sz="0" w:space="0" w:color="auto"/>
                <w:left w:val="none" w:sz="0" w:space="0" w:color="auto"/>
                <w:bottom w:val="none" w:sz="0" w:space="0" w:color="auto"/>
                <w:right w:val="none" w:sz="0" w:space="0" w:color="auto"/>
              </w:divBdr>
            </w:div>
            <w:div w:id="2048069370">
              <w:marLeft w:val="0"/>
              <w:marRight w:val="0"/>
              <w:marTop w:val="0"/>
              <w:marBottom w:val="0"/>
              <w:divBdr>
                <w:top w:val="none" w:sz="0" w:space="0" w:color="auto"/>
                <w:left w:val="none" w:sz="0" w:space="0" w:color="auto"/>
                <w:bottom w:val="none" w:sz="0" w:space="0" w:color="auto"/>
                <w:right w:val="none" w:sz="0" w:space="0" w:color="auto"/>
              </w:divBdr>
            </w:div>
            <w:div w:id="207847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876398">
      <w:bodyDiv w:val="1"/>
      <w:marLeft w:val="0"/>
      <w:marRight w:val="0"/>
      <w:marTop w:val="0"/>
      <w:marBottom w:val="0"/>
      <w:divBdr>
        <w:top w:val="none" w:sz="0" w:space="0" w:color="auto"/>
        <w:left w:val="none" w:sz="0" w:space="0" w:color="auto"/>
        <w:bottom w:val="none" w:sz="0" w:space="0" w:color="auto"/>
        <w:right w:val="none" w:sz="0" w:space="0" w:color="auto"/>
      </w:divBdr>
    </w:div>
    <w:div w:id="962034380">
      <w:bodyDiv w:val="1"/>
      <w:marLeft w:val="0"/>
      <w:marRight w:val="0"/>
      <w:marTop w:val="0"/>
      <w:marBottom w:val="0"/>
      <w:divBdr>
        <w:top w:val="none" w:sz="0" w:space="0" w:color="auto"/>
        <w:left w:val="none" w:sz="0" w:space="0" w:color="auto"/>
        <w:bottom w:val="none" w:sz="0" w:space="0" w:color="auto"/>
        <w:right w:val="none" w:sz="0" w:space="0" w:color="auto"/>
      </w:divBdr>
      <w:divsChild>
        <w:div w:id="1218934263">
          <w:marLeft w:val="480"/>
          <w:marRight w:val="0"/>
          <w:marTop w:val="0"/>
          <w:marBottom w:val="0"/>
          <w:divBdr>
            <w:top w:val="none" w:sz="0" w:space="0" w:color="auto"/>
            <w:left w:val="none" w:sz="0" w:space="0" w:color="auto"/>
            <w:bottom w:val="none" w:sz="0" w:space="0" w:color="auto"/>
            <w:right w:val="none" w:sz="0" w:space="0" w:color="auto"/>
          </w:divBdr>
          <w:divsChild>
            <w:div w:id="144619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153413">
      <w:bodyDiv w:val="1"/>
      <w:marLeft w:val="0"/>
      <w:marRight w:val="0"/>
      <w:marTop w:val="0"/>
      <w:marBottom w:val="0"/>
      <w:divBdr>
        <w:top w:val="none" w:sz="0" w:space="0" w:color="auto"/>
        <w:left w:val="none" w:sz="0" w:space="0" w:color="auto"/>
        <w:bottom w:val="none" w:sz="0" w:space="0" w:color="auto"/>
        <w:right w:val="none" w:sz="0" w:space="0" w:color="auto"/>
      </w:divBdr>
      <w:divsChild>
        <w:div w:id="1971784266">
          <w:marLeft w:val="480"/>
          <w:marRight w:val="0"/>
          <w:marTop w:val="0"/>
          <w:marBottom w:val="0"/>
          <w:divBdr>
            <w:top w:val="none" w:sz="0" w:space="0" w:color="auto"/>
            <w:left w:val="none" w:sz="0" w:space="0" w:color="auto"/>
            <w:bottom w:val="none" w:sz="0" w:space="0" w:color="auto"/>
            <w:right w:val="none" w:sz="0" w:space="0" w:color="auto"/>
          </w:divBdr>
          <w:divsChild>
            <w:div w:id="27679542">
              <w:marLeft w:val="0"/>
              <w:marRight w:val="0"/>
              <w:marTop w:val="0"/>
              <w:marBottom w:val="0"/>
              <w:divBdr>
                <w:top w:val="none" w:sz="0" w:space="0" w:color="auto"/>
                <w:left w:val="none" w:sz="0" w:space="0" w:color="auto"/>
                <w:bottom w:val="none" w:sz="0" w:space="0" w:color="auto"/>
                <w:right w:val="none" w:sz="0" w:space="0" w:color="auto"/>
              </w:divBdr>
            </w:div>
            <w:div w:id="65422994">
              <w:marLeft w:val="0"/>
              <w:marRight w:val="0"/>
              <w:marTop w:val="0"/>
              <w:marBottom w:val="0"/>
              <w:divBdr>
                <w:top w:val="none" w:sz="0" w:space="0" w:color="auto"/>
                <w:left w:val="none" w:sz="0" w:space="0" w:color="auto"/>
                <w:bottom w:val="none" w:sz="0" w:space="0" w:color="auto"/>
                <w:right w:val="none" w:sz="0" w:space="0" w:color="auto"/>
              </w:divBdr>
            </w:div>
            <w:div w:id="111946831">
              <w:marLeft w:val="0"/>
              <w:marRight w:val="0"/>
              <w:marTop w:val="0"/>
              <w:marBottom w:val="0"/>
              <w:divBdr>
                <w:top w:val="none" w:sz="0" w:space="0" w:color="auto"/>
                <w:left w:val="none" w:sz="0" w:space="0" w:color="auto"/>
                <w:bottom w:val="none" w:sz="0" w:space="0" w:color="auto"/>
                <w:right w:val="none" w:sz="0" w:space="0" w:color="auto"/>
              </w:divBdr>
            </w:div>
            <w:div w:id="160975594">
              <w:marLeft w:val="0"/>
              <w:marRight w:val="0"/>
              <w:marTop w:val="0"/>
              <w:marBottom w:val="0"/>
              <w:divBdr>
                <w:top w:val="none" w:sz="0" w:space="0" w:color="auto"/>
                <w:left w:val="none" w:sz="0" w:space="0" w:color="auto"/>
                <w:bottom w:val="none" w:sz="0" w:space="0" w:color="auto"/>
                <w:right w:val="none" w:sz="0" w:space="0" w:color="auto"/>
              </w:divBdr>
            </w:div>
            <w:div w:id="181862876">
              <w:marLeft w:val="0"/>
              <w:marRight w:val="0"/>
              <w:marTop w:val="0"/>
              <w:marBottom w:val="0"/>
              <w:divBdr>
                <w:top w:val="none" w:sz="0" w:space="0" w:color="auto"/>
                <w:left w:val="none" w:sz="0" w:space="0" w:color="auto"/>
                <w:bottom w:val="none" w:sz="0" w:space="0" w:color="auto"/>
                <w:right w:val="none" w:sz="0" w:space="0" w:color="auto"/>
              </w:divBdr>
            </w:div>
            <w:div w:id="203444128">
              <w:marLeft w:val="0"/>
              <w:marRight w:val="0"/>
              <w:marTop w:val="0"/>
              <w:marBottom w:val="0"/>
              <w:divBdr>
                <w:top w:val="none" w:sz="0" w:space="0" w:color="auto"/>
                <w:left w:val="none" w:sz="0" w:space="0" w:color="auto"/>
                <w:bottom w:val="none" w:sz="0" w:space="0" w:color="auto"/>
                <w:right w:val="none" w:sz="0" w:space="0" w:color="auto"/>
              </w:divBdr>
            </w:div>
            <w:div w:id="266929539">
              <w:marLeft w:val="0"/>
              <w:marRight w:val="0"/>
              <w:marTop w:val="0"/>
              <w:marBottom w:val="0"/>
              <w:divBdr>
                <w:top w:val="none" w:sz="0" w:space="0" w:color="auto"/>
                <w:left w:val="none" w:sz="0" w:space="0" w:color="auto"/>
                <w:bottom w:val="none" w:sz="0" w:space="0" w:color="auto"/>
                <w:right w:val="none" w:sz="0" w:space="0" w:color="auto"/>
              </w:divBdr>
            </w:div>
            <w:div w:id="304242906">
              <w:marLeft w:val="0"/>
              <w:marRight w:val="0"/>
              <w:marTop w:val="0"/>
              <w:marBottom w:val="0"/>
              <w:divBdr>
                <w:top w:val="none" w:sz="0" w:space="0" w:color="auto"/>
                <w:left w:val="none" w:sz="0" w:space="0" w:color="auto"/>
                <w:bottom w:val="none" w:sz="0" w:space="0" w:color="auto"/>
                <w:right w:val="none" w:sz="0" w:space="0" w:color="auto"/>
              </w:divBdr>
            </w:div>
            <w:div w:id="350575225">
              <w:marLeft w:val="0"/>
              <w:marRight w:val="0"/>
              <w:marTop w:val="0"/>
              <w:marBottom w:val="0"/>
              <w:divBdr>
                <w:top w:val="none" w:sz="0" w:space="0" w:color="auto"/>
                <w:left w:val="none" w:sz="0" w:space="0" w:color="auto"/>
                <w:bottom w:val="none" w:sz="0" w:space="0" w:color="auto"/>
                <w:right w:val="none" w:sz="0" w:space="0" w:color="auto"/>
              </w:divBdr>
            </w:div>
            <w:div w:id="351882277">
              <w:marLeft w:val="0"/>
              <w:marRight w:val="0"/>
              <w:marTop w:val="0"/>
              <w:marBottom w:val="0"/>
              <w:divBdr>
                <w:top w:val="none" w:sz="0" w:space="0" w:color="auto"/>
                <w:left w:val="none" w:sz="0" w:space="0" w:color="auto"/>
                <w:bottom w:val="none" w:sz="0" w:space="0" w:color="auto"/>
                <w:right w:val="none" w:sz="0" w:space="0" w:color="auto"/>
              </w:divBdr>
            </w:div>
            <w:div w:id="450902888">
              <w:marLeft w:val="0"/>
              <w:marRight w:val="0"/>
              <w:marTop w:val="0"/>
              <w:marBottom w:val="0"/>
              <w:divBdr>
                <w:top w:val="none" w:sz="0" w:space="0" w:color="auto"/>
                <w:left w:val="none" w:sz="0" w:space="0" w:color="auto"/>
                <w:bottom w:val="none" w:sz="0" w:space="0" w:color="auto"/>
                <w:right w:val="none" w:sz="0" w:space="0" w:color="auto"/>
              </w:divBdr>
            </w:div>
            <w:div w:id="487021327">
              <w:marLeft w:val="0"/>
              <w:marRight w:val="0"/>
              <w:marTop w:val="0"/>
              <w:marBottom w:val="0"/>
              <w:divBdr>
                <w:top w:val="none" w:sz="0" w:space="0" w:color="auto"/>
                <w:left w:val="none" w:sz="0" w:space="0" w:color="auto"/>
                <w:bottom w:val="none" w:sz="0" w:space="0" w:color="auto"/>
                <w:right w:val="none" w:sz="0" w:space="0" w:color="auto"/>
              </w:divBdr>
            </w:div>
            <w:div w:id="496726643">
              <w:marLeft w:val="0"/>
              <w:marRight w:val="0"/>
              <w:marTop w:val="0"/>
              <w:marBottom w:val="0"/>
              <w:divBdr>
                <w:top w:val="none" w:sz="0" w:space="0" w:color="auto"/>
                <w:left w:val="none" w:sz="0" w:space="0" w:color="auto"/>
                <w:bottom w:val="none" w:sz="0" w:space="0" w:color="auto"/>
                <w:right w:val="none" w:sz="0" w:space="0" w:color="auto"/>
              </w:divBdr>
            </w:div>
            <w:div w:id="531380390">
              <w:marLeft w:val="0"/>
              <w:marRight w:val="0"/>
              <w:marTop w:val="0"/>
              <w:marBottom w:val="0"/>
              <w:divBdr>
                <w:top w:val="none" w:sz="0" w:space="0" w:color="auto"/>
                <w:left w:val="none" w:sz="0" w:space="0" w:color="auto"/>
                <w:bottom w:val="none" w:sz="0" w:space="0" w:color="auto"/>
                <w:right w:val="none" w:sz="0" w:space="0" w:color="auto"/>
              </w:divBdr>
            </w:div>
            <w:div w:id="596182137">
              <w:marLeft w:val="0"/>
              <w:marRight w:val="0"/>
              <w:marTop w:val="0"/>
              <w:marBottom w:val="0"/>
              <w:divBdr>
                <w:top w:val="none" w:sz="0" w:space="0" w:color="auto"/>
                <w:left w:val="none" w:sz="0" w:space="0" w:color="auto"/>
                <w:bottom w:val="none" w:sz="0" w:space="0" w:color="auto"/>
                <w:right w:val="none" w:sz="0" w:space="0" w:color="auto"/>
              </w:divBdr>
            </w:div>
            <w:div w:id="617414728">
              <w:marLeft w:val="0"/>
              <w:marRight w:val="0"/>
              <w:marTop w:val="0"/>
              <w:marBottom w:val="0"/>
              <w:divBdr>
                <w:top w:val="none" w:sz="0" w:space="0" w:color="auto"/>
                <w:left w:val="none" w:sz="0" w:space="0" w:color="auto"/>
                <w:bottom w:val="none" w:sz="0" w:space="0" w:color="auto"/>
                <w:right w:val="none" w:sz="0" w:space="0" w:color="auto"/>
              </w:divBdr>
            </w:div>
            <w:div w:id="675039771">
              <w:marLeft w:val="0"/>
              <w:marRight w:val="0"/>
              <w:marTop w:val="0"/>
              <w:marBottom w:val="0"/>
              <w:divBdr>
                <w:top w:val="none" w:sz="0" w:space="0" w:color="auto"/>
                <w:left w:val="none" w:sz="0" w:space="0" w:color="auto"/>
                <w:bottom w:val="none" w:sz="0" w:space="0" w:color="auto"/>
                <w:right w:val="none" w:sz="0" w:space="0" w:color="auto"/>
              </w:divBdr>
            </w:div>
            <w:div w:id="703487075">
              <w:marLeft w:val="0"/>
              <w:marRight w:val="0"/>
              <w:marTop w:val="0"/>
              <w:marBottom w:val="0"/>
              <w:divBdr>
                <w:top w:val="none" w:sz="0" w:space="0" w:color="auto"/>
                <w:left w:val="none" w:sz="0" w:space="0" w:color="auto"/>
                <w:bottom w:val="none" w:sz="0" w:space="0" w:color="auto"/>
                <w:right w:val="none" w:sz="0" w:space="0" w:color="auto"/>
              </w:divBdr>
            </w:div>
            <w:div w:id="790242513">
              <w:marLeft w:val="0"/>
              <w:marRight w:val="0"/>
              <w:marTop w:val="0"/>
              <w:marBottom w:val="0"/>
              <w:divBdr>
                <w:top w:val="none" w:sz="0" w:space="0" w:color="auto"/>
                <w:left w:val="none" w:sz="0" w:space="0" w:color="auto"/>
                <w:bottom w:val="none" w:sz="0" w:space="0" w:color="auto"/>
                <w:right w:val="none" w:sz="0" w:space="0" w:color="auto"/>
              </w:divBdr>
            </w:div>
            <w:div w:id="853618062">
              <w:marLeft w:val="0"/>
              <w:marRight w:val="0"/>
              <w:marTop w:val="0"/>
              <w:marBottom w:val="0"/>
              <w:divBdr>
                <w:top w:val="none" w:sz="0" w:space="0" w:color="auto"/>
                <w:left w:val="none" w:sz="0" w:space="0" w:color="auto"/>
                <w:bottom w:val="none" w:sz="0" w:space="0" w:color="auto"/>
                <w:right w:val="none" w:sz="0" w:space="0" w:color="auto"/>
              </w:divBdr>
            </w:div>
            <w:div w:id="875119411">
              <w:marLeft w:val="0"/>
              <w:marRight w:val="0"/>
              <w:marTop w:val="0"/>
              <w:marBottom w:val="0"/>
              <w:divBdr>
                <w:top w:val="none" w:sz="0" w:space="0" w:color="auto"/>
                <w:left w:val="none" w:sz="0" w:space="0" w:color="auto"/>
                <w:bottom w:val="none" w:sz="0" w:space="0" w:color="auto"/>
                <w:right w:val="none" w:sz="0" w:space="0" w:color="auto"/>
              </w:divBdr>
            </w:div>
            <w:div w:id="887034062">
              <w:marLeft w:val="0"/>
              <w:marRight w:val="0"/>
              <w:marTop w:val="0"/>
              <w:marBottom w:val="0"/>
              <w:divBdr>
                <w:top w:val="none" w:sz="0" w:space="0" w:color="auto"/>
                <w:left w:val="none" w:sz="0" w:space="0" w:color="auto"/>
                <w:bottom w:val="none" w:sz="0" w:space="0" w:color="auto"/>
                <w:right w:val="none" w:sz="0" w:space="0" w:color="auto"/>
              </w:divBdr>
            </w:div>
            <w:div w:id="900485364">
              <w:marLeft w:val="0"/>
              <w:marRight w:val="0"/>
              <w:marTop w:val="0"/>
              <w:marBottom w:val="0"/>
              <w:divBdr>
                <w:top w:val="none" w:sz="0" w:space="0" w:color="auto"/>
                <w:left w:val="none" w:sz="0" w:space="0" w:color="auto"/>
                <w:bottom w:val="none" w:sz="0" w:space="0" w:color="auto"/>
                <w:right w:val="none" w:sz="0" w:space="0" w:color="auto"/>
              </w:divBdr>
            </w:div>
            <w:div w:id="903638379">
              <w:marLeft w:val="0"/>
              <w:marRight w:val="0"/>
              <w:marTop w:val="0"/>
              <w:marBottom w:val="0"/>
              <w:divBdr>
                <w:top w:val="none" w:sz="0" w:space="0" w:color="auto"/>
                <w:left w:val="none" w:sz="0" w:space="0" w:color="auto"/>
                <w:bottom w:val="none" w:sz="0" w:space="0" w:color="auto"/>
                <w:right w:val="none" w:sz="0" w:space="0" w:color="auto"/>
              </w:divBdr>
            </w:div>
            <w:div w:id="924999676">
              <w:marLeft w:val="0"/>
              <w:marRight w:val="0"/>
              <w:marTop w:val="0"/>
              <w:marBottom w:val="0"/>
              <w:divBdr>
                <w:top w:val="none" w:sz="0" w:space="0" w:color="auto"/>
                <w:left w:val="none" w:sz="0" w:space="0" w:color="auto"/>
                <w:bottom w:val="none" w:sz="0" w:space="0" w:color="auto"/>
                <w:right w:val="none" w:sz="0" w:space="0" w:color="auto"/>
              </w:divBdr>
            </w:div>
            <w:div w:id="937643853">
              <w:marLeft w:val="0"/>
              <w:marRight w:val="0"/>
              <w:marTop w:val="0"/>
              <w:marBottom w:val="0"/>
              <w:divBdr>
                <w:top w:val="none" w:sz="0" w:space="0" w:color="auto"/>
                <w:left w:val="none" w:sz="0" w:space="0" w:color="auto"/>
                <w:bottom w:val="none" w:sz="0" w:space="0" w:color="auto"/>
                <w:right w:val="none" w:sz="0" w:space="0" w:color="auto"/>
              </w:divBdr>
            </w:div>
            <w:div w:id="951059593">
              <w:marLeft w:val="0"/>
              <w:marRight w:val="0"/>
              <w:marTop w:val="0"/>
              <w:marBottom w:val="0"/>
              <w:divBdr>
                <w:top w:val="none" w:sz="0" w:space="0" w:color="auto"/>
                <w:left w:val="none" w:sz="0" w:space="0" w:color="auto"/>
                <w:bottom w:val="none" w:sz="0" w:space="0" w:color="auto"/>
                <w:right w:val="none" w:sz="0" w:space="0" w:color="auto"/>
              </w:divBdr>
            </w:div>
            <w:div w:id="953171203">
              <w:marLeft w:val="0"/>
              <w:marRight w:val="0"/>
              <w:marTop w:val="0"/>
              <w:marBottom w:val="0"/>
              <w:divBdr>
                <w:top w:val="none" w:sz="0" w:space="0" w:color="auto"/>
                <w:left w:val="none" w:sz="0" w:space="0" w:color="auto"/>
                <w:bottom w:val="none" w:sz="0" w:space="0" w:color="auto"/>
                <w:right w:val="none" w:sz="0" w:space="0" w:color="auto"/>
              </w:divBdr>
            </w:div>
            <w:div w:id="982998919">
              <w:marLeft w:val="0"/>
              <w:marRight w:val="0"/>
              <w:marTop w:val="0"/>
              <w:marBottom w:val="0"/>
              <w:divBdr>
                <w:top w:val="none" w:sz="0" w:space="0" w:color="auto"/>
                <w:left w:val="none" w:sz="0" w:space="0" w:color="auto"/>
                <w:bottom w:val="none" w:sz="0" w:space="0" w:color="auto"/>
                <w:right w:val="none" w:sz="0" w:space="0" w:color="auto"/>
              </w:divBdr>
            </w:div>
            <w:div w:id="1025789355">
              <w:marLeft w:val="0"/>
              <w:marRight w:val="0"/>
              <w:marTop w:val="0"/>
              <w:marBottom w:val="0"/>
              <w:divBdr>
                <w:top w:val="none" w:sz="0" w:space="0" w:color="auto"/>
                <w:left w:val="none" w:sz="0" w:space="0" w:color="auto"/>
                <w:bottom w:val="none" w:sz="0" w:space="0" w:color="auto"/>
                <w:right w:val="none" w:sz="0" w:space="0" w:color="auto"/>
              </w:divBdr>
            </w:div>
            <w:div w:id="1050760756">
              <w:marLeft w:val="0"/>
              <w:marRight w:val="0"/>
              <w:marTop w:val="0"/>
              <w:marBottom w:val="0"/>
              <w:divBdr>
                <w:top w:val="none" w:sz="0" w:space="0" w:color="auto"/>
                <w:left w:val="none" w:sz="0" w:space="0" w:color="auto"/>
                <w:bottom w:val="none" w:sz="0" w:space="0" w:color="auto"/>
                <w:right w:val="none" w:sz="0" w:space="0" w:color="auto"/>
              </w:divBdr>
            </w:div>
            <w:div w:id="1156452641">
              <w:marLeft w:val="0"/>
              <w:marRight w:val="0"/>
              <w:marTop w:val="0"/>
              <w:marBottom w:val="0"/>
              <w:divBdr>
                <w:top w:val="none" w:sz="0" w:space="0" w:color="auto"/>
                <w:left w:val="none" w:sz="0" w:space="0" w:color="auto"/>
                <w:bottom w:val="none" w:sz="0" w:space="0" w:color="auto"/>
                <w:right w:val="none" w:sz="0" w:space="0" w:color="auto"/>
              </w:divBdr>
            </w:div>
            <w:div w:id="1166551286">
              <w:marLeft w:val="0"/>
              <w:marRight w:val="0"/>
              <w:marTop w:val="0"/>
              <w:marBottom w:val="0"/>
              <w:divBdr>
                <w:top w:val="none" w:sz="0" w:space="0" w:color="auto"/>
                <w:left w:val="none" w:sz="0" w:space="0" w:color="auto"/>
                <w:bottom w:val="none" w:sz="0" w:space="0" w:color="auto"/>
                <w:right w:val="none" w:sz="0" w:space="0" w:color="auto"/>
              </w:divBdr>
            </w:div>
            <w:div w:id="1169322868">
              <w:marLeft w:val="0"/>
              <w:marRight w:val="0"/>
              <w:marTop w:val="0"/>
              <w:marBottom w:val="0"/>
              <w:divBdr>
                <w:top w:val="none" w:sz="0" w:space="0" w:color="auto"/>
                <w:left w:val="none" w:sz="0" w:space="0" w:color="auto"/>
                <w:bottom w:val="none" w:sz="0" w:space="0" w:color="auto"/>
                <w:right w:val="none" w:sz="0" w:space="0" w:color="auto"/>
              </w:divBdr>
            </w:div>
            <w:div w:id="1187597943">
              <w:marLeft w:val="0"/>
              <w:marRight w:val="0"/>
              <w:marTop w:val="0"/>
              <w:marBottom w:val="0"/>
              <w:divBdr>
                <w:top w:val="none" w:sz="0" w:space="0" w:color="auto"/>
                <w:left w:val="none" w:sz="0" w:space="0" w:color="auto"/>
                <w:bottom w:val="none" w:sz="0" w:space="0" w:color="auto"/>
                <w:right w:val="none" w:sz="0" w:space="0" w:color="auto"/>
              </w:divBdr>
            </w:div>
            <w:div w:id="1220242894">
              <w:marLeft w:val="0"/>
              <w:marRight w:val="0"/>
              <w:marTop w:val="0"/>
              <w:marBottom w:val="0"/>
              <w:divBdr>
                <w:top w:val="none" w:sz="0" w:space="0" w:color="auto"/>
                <w:left w:val="none" w:sz="0" w:space="0" w:color="auto"/>
                <w:bottom w:val="none" w:sz="0" w:space="0" w:color="auto"/>
                <w:right w:val="none" w:sz="0" w:space="0" w:color="auto"/>
              </w:divBdr>
            </w:div>
            <w:div w:id="1274089827">
              <w:marLeft w:val="0"/>
              <w:marRight w:val="0"/>
              <w:marTop w:val="0"/>
              <w:marBottom w:val="0"/>
              <w:divBdr>
                <w:top w:val="none" w:sz="0" w:space="0" w:color="auto"/>
                <w:left w:val="none" w:sz="0" w:space="0" w:color="auto"/>
                <w:bottom w:val="none" w:sz="0" w:space="0" w:color="auto"/>
                <w:right w:val="none" w:sz="0" w:space="0" w:color="auto"/>
              </w:divBdr>
            </w:div>
            <w:div w:id="1284771072">
              <w:marLeft w:val="0"/>
              <w:marRight w:val="0"/>
              <w:marTop w:val="0"/>
              <w:marBottom w:val="0"/>
              <w:divBdr>
                <w:top w:val="none" w:sz="0" w:space="0" w:color="auto"/>
                <w:left w:val="none" w:sz="0" w:space="0" w:color="auto"/>
                <w:bottom w:val="none" w:sz="0" w:space="0" w:color="auto"/>
                <w:right w:val="none" w:sz="0" w:space="0" w:color="auto"/>
              </w:divBdr>
            </w:div>
            <w:div w:id="1289238683">
              <w:marLeft w:val="0"/>
              <w:marRight w:val="0"/>
              <w:marTop w:val="0"/>
              <w:marBottom w:val="0"/>
              <w:divBdr>
                <w:top w:val="none" w:sz="0" w:space="0" w:color="auto"/>
                <w:left w:val="none" w:sz="0" w:space="0" w:color="auto"/>
                <w:bottom w:val="none" w:sz="0" w:space="0" w:color="auto"/>
                <w:right w:val="none" w:sz="0" w:space="0" w:color="auto"/>
              </w:divBdr>
            </w:div>
            <w:div w:id="1298729432">
              <w:marLeft w:val="0"/>
              <w:marRight w:val="0"/>
              <w:marTop w:val="0"/>
              <w:marBottom w:val="0"/>
              <w:divBdr>
                <w:top w:val="none" w:sz="0" w:space="0" w:color="auto"/>
                <w:left w:val="none" w:sz="0" w:space="0" w:color="auto"/>
                <w:bottom w:val="none" w:sz="0" w:space="0" w:color="auto"/>
                <w:right w:val="none" w:sz="0" w:space="0" w:color="auto"/>
              </w:divBdr>
            </w:div>
            <w:div w:id="1318223275">
              <w:marLeft w:val="0"/>
              <w:marRight w:val="0"/>
              <w:marTop w:val="0"/>
              <w:marBottom w:val="0"/>
              <w:divBdr>
                <w:top w:val="none" w:sz="0" w:space="0" w:color="auto"/>
                <w:left w:val="none" w:sz="0" w:space="0" w:color="auto"/>
                <w:bottom w:val="none" w:sz="0" w:space="0" w:color="auto"/>
                <w:right w:val="none" w:sz="0" w:space="0" w:color="auto"/>
              </w:divBdr>
            </w:div>
            <w:div w:id="1361052108">
              <w:marLeft w:val="0"/>
              <w:marRight w:val="0"/>
              <w:marTop w:val="0"/>
              <w:marBottom w:val="0"/>
              <w:divBdr>
                <w:top w:val="none" w:sz="0" w:space="0" w:color="auto"/>
                <w:left w:val="none" w:sz="0" w:space="0" w:color="auto"/>
                <w:bottom w:val="none" w:sz="0" w:space="0" w:color="auto"/>
                <w:right w:val="none" w:sz="0" w:space="0" w:color="auto"/>
              </w:divBdr>
            </w:div>
            <w:div w:id="1389498699">
              <w:marLeft w:val="0"/>
              <w:marRight w:val="0"/>
              <w:marTop w:val="0"/>
              <w:marBottom w:val="0"/>
              <w:divBdr>
                <w:top w:val="none" w:sz="0" w:space="0" w:color="auto"/>
                <w:left w:val="none" w:sz="0" w:space="0" w:color="auto"/>
                <w:bottom w:val="none" w:sz="0" w:space="0" w:color="auto"/>
                <w:right w:val="none" w:sz="0" w:space="0" w:color="auto"/>
              </w:divBdr>
            </w:div>
            <w:div w:id="1428620401">
              <w:marLeft w:val="0"/>
              <w:marRight w:val="0"/>
              <w:marTop w:val="0"/>
              <w:marBottom w:val="0"/>
              <w:divBdr>
                <w:top w:val="none" w:sz="0" w:space="0" w:color="auto"/>
                <w:left w:val="none" w:sz="0" w:space="0" w:color="auto"/>
                <w:bottom w:val="none" w:sz="0" w:space="0" w:color="auto"/>
                <w:right w:val="none" w:sz="0" w:space="0" w:color="auto"/>
              </w:divBdr>
            </w:div>
            <w:div w:id="1451627937">
              <w:marLeft w:val="0"/>
              <w:marRight w:val="0"/>
              <w:marTop w:val="0"/>
              <w:marBottom w:val="0"/>
              <w:divBdr>
                <w:top w:val="none" w:sz="0" w:space="0" w:color="auto"/>
                <w:left w:val="none" w:sz="0" w:space="0" w:color="auto"/>
                <w:bottom w:val="none" w:sz="0" w:space="0" w:color="auto"/>
                <w:right w:val="none" w:sz="0" w:space="0" w:color="auto"/>
              </w:divBdr>
            </w:div>
            <w:div w:id="1499416591">
              <w:marLeft w:val="0"/>
              <w:marRight w:val="0"/>
              <w:marTop w:val="0"/>
              <w:marBottom w:val="0"/>
              <w:divBdr>
                <w:top w:val="none" w:sz="0" w:space="0" w:color="auto"/>
                <w:left w:val="none" w:sz="0" w:space="0" w:color="auto"/>
                <w:bottom w:val="none" w:sz="0" w:space="0" w:color="auto"/>
                <w:right w:val="none" w:sz="0" w:space="0" w:color="auto"/>
              </w:divBdr>
            </w:div>
            <w:div w:id="1533415418">
              <w:marLeft w:val="0"/>
              <w:marRight w:val="0"/>
              <w:marTop w:val="0"/>
              <w:marBottom w:val="0"/>
              <w:divBdr>
                <w:top w:val="none" w:sz="0" w:space="0" w:color="auto"/>
                <w:left w:val="none" w:sz="0" w:space="0" w:color="auto"/>
                <w:bottom w:val="none" w:sz="0" w:space="0" w:color="auto"/>
                <w:right w:val="none" w:sz="0" w:space="0" w:color="auto"/>
              </w:divBdr>
            </w:div>
            <w:div w:id="1556815579">
              <w:marLeft w:val="0"/>
              <w:marRight w:val="0"/>
              <w:marTop w:val="0"/>
              <w:marBottom w:val="0"/>
              <w:divBdr>
                <w:top w:val="none" w:sz="0" w:space="0" w:color="auto"/>
                <w:left w:val="none" w:sz="0" w:space="0" w:color="auto"/>
                <w:bottom w:val="none" w:sz="0" w:space="0" w:color="auto"/>
                <w:right w:val="none" w:sz="0" w:space="0" w:color="auto"/>
              </w:divBdr>
            </w:div>
            <w:div w:id="1606690505">
              <w:marLeft w:val="0"/>
              <w:marRight w:val="0"/>
              <w:marTop w:val="0"/>
              <w:marBottom w:val="0"/>
              <w:divBdr>
                <w:top w:val="none" w:sz="0" w:space="0" w:color="auto"/>
                <w:left w:val="none" w:sz="0" w:space="0" w:color="auto"/>
                <w:bottom w:val="none" w:sz="0" w:space="0" w:color="auto"/>
                <w:right w:val="none" w:sz="0" w:space="0" w:color="auto"/>
              </w:divBdr>
            </w:div>
            <w:div w:id="1640453322">
              <w:marLeft w:val="0"/>
              <w:marRight w:val="0"/>
              <w:marTop w:val="0"/>
              <w:marBottom w:val="0"/>
              <w:divBdr>
                <w:top w:val="none" w:sz="0" w:space="0" w:color="auto"/>
                <w:left w:val="none" w:sz="0" w:space="0" w:color="auto"/>
                <w:bottom w:val="none" w:sz="0" w:space="0" w:color="auto"/>
                <w:right w:val="none" w:sz="0" w:space="0" w:color="auto"/>
              </w:divBdr>
            </w:div>
            <w:div w:id="1762985679">
              <w:marLeft w:val="0"/>
              <w:marRight w:val="0"/>
              <w:marTop w:val="0"/>
              <w:marBottom w:val="0"/>
              <w:divBdr>
                <w:top w:val="none" w:sz="0" w:space="0" w:color="auto"/>
                <w:left w:val="none" w:sz="0" w:space="0" w:color="auto"/>
                <w:bottom w:val="none" w:sz="0" w:space="0" w:color="auto"/>
                <w:right w:val="none" w:sz="0" w:space="0" w:color="auto"/>
              </w:divBdr>
            </w:div>
            <w:div w:id="1784424503">
              <w:marLeft w:val="0"/>
              <w:marRight w:val="0"/>
              <w:marTop w:val="0"/>
              <w:marBottom w:val="0"/>
              <w:divBdr>
                <w:top w:val="none" w:sz="0" w:space="0" w:color="auto"/>
                <w:left w:val="none" w:sz="0" w:space="0" w:color="auto"/>
                <w:bottom w:val="none" w:sz="0" w:space="0" w:color="auto"/>
                <w:right w:val="none" w:sz="0" w:space="0" w:color="auto"/>
              </w:divBdr>
            </w:div>
            <w:div w:id="1832409893">
              <w:marLeft w:val="0"/>
              <w:marRight w:val="0"/>
              <w:marTop w:val="0"/>
              <w:marBottom w:val="0"/>
              <w:divBdr>
                <w:top w:val="none" w:sz="0" w:space="0" w:color="auto"/>
                <w:left w:val="none" w:sz="0" w:space="0" w:color="auto"/>
                <w:bottom w:val="none" w:sz="0" w:space="0" w:color="auto"/>
                <w:right w:val="none" w:sz="0" w:space="0" w:color="auto"/>
              </w:divBdr>
            </w:div>
            <w:div w:id="1852405631">
              <w:marLeft w:val="0"/>
              <w:marRight w:val="0"/>
              <w:marTop w:val="0"/>
              <w:marBottom w:val="0"/>
              <w:divBdr>
                <w:top w:val="none" w:sz="0" w:space="0" w:color="auto"/>
                <w:left w:val="none" w:sz="0" w:space="0" w:color="auto"/>
                <w:bottom w:val="none" w:sz="0" w:space="0" w:color="auto"/>
                <w:right w:val="none" w:sz="0" w:space="0" w:color="auto"/>
              </w:divBdr>
            </w:div>
            <w:div w:id="1861504316">
              <w:marLeft w:val="0"/>
              <w:marRight w:val="0"/>
              <w:marTop w:val="0"/>
              <w:marBottom w:val="0"/>
              <w:divBdr>
                <w:top w:val="none" w:sz="0" w:space="0" w:color="auto"/>
                <w:left w:val="none" w:sz="0" w:space="0" w:color="auto"/>
                <w:bottom w:val="none" w:sz="0" w:space="0" w:color="auto"/>
                <w:right w:val="none" w:sz="0" w:space="0" w:color="auto"/>
              </w:divBdr>
            </w:div>
            <w:div w:id="1904486050">
              <w:marLeft w:val="0"/>
              <w:marRight w:val="0"/>
              <w:marTop w:val="0"/>
              <w:marBottom w:val="0"/>
              <w:divBdr>
                <w:top w:val="none" w:sz="0" w:space="0" w:color="auto"/>
                <w:left w:val="none" w:sz="0" w:space="0" w:color="auto"/>
                <w:bottom w:val="none" w:sz="0" w:space="0" w:color="auto"/>
                <w:right w:val="none" w:sz="0" w:space="0" w:color="auto"/>
              </w:divBdr>
            </w:div>
            <w:div w:id="1949046281">
              <w:marLeft w:val="0"/>
              <w:marRight w:val="0"/>
              <w:marTop w:val="0"/>
              <w:marBottom w:val="0"/>
              <w:divBdr>
                <w:top w:val="none" w:sz="0" w:space="0" w:color="auto"/>
                <w:left w:val="none" w:sz="0" w:space="0" w:color="auto"/>
                <w:bottom w:val="none" w:sz="0" w:space="0" w:color="auto"/>
                <w:right w:val="none" w:sz="0" w:space="0" w:color="auto"/>
              </w:divBdr>
            </w:div>
            <w:div w:id="1956401072">
              <w:marLeft w:val="0"/>
              <w:marRight w:val="0"/>
              <w:marTop w:val="0"/>
              <w:marBottom w:val="0"/>
              <w:divBdr>
                <w:top w:val="none" w:sz="0" w:space="0" w:color="auto"/>
                <w:left w:val="none" w:sz="0" w:space="0" w:color="auto"/>
                <w:bottom w:val="none" w:sz="0" w:space="0" w:color="auto"/>
                <w:right w:val="none" w:sz="0" w:space="0" w:color="auto"/>
              </w:divBdr>
            </w:div>
            <w:div w:id="2018338271">
              <w:marLeft w:val="0"/>
              <w:marRight w:val="0"/>
              <w:marTop w:val="0"/>
              <w:marBottom w:val="0"/>
              <w:divBdr>
                <w:top w:val="none" w:sz="0" w:space="0" w:color="auto"/>
                <w:left w:val="none" w:sz="0" w:space="0" w:color="auto"/>
                <w:bottom w:val="none" w:sz="0" w:space="0" w:color="auto"/>
                <w:right w:val="none" w:sz="0" w:space="0" w:color="auto"/>
              </w:divBdr>
            </w:div>
            <w:div w:id="2020738721">
              <w:marLeft w:val="0"/>
              <w:marRight w:val="0"/>
              <w:marTop w:val="0"/>
              <w:marBottom w:val="0"/>
              <w:divBdr>
                <w:top w:val="none" w:sz="0" w:space="0" w:color="auto"/>
                <w:left w:val="none" w:sz="0" w:space="0" w:color="auto"/>
                <w:bottom w:val="none" w:sz="0" w:space="0" w:color="auto"/>
                <w:right w:val="none" w:sz="0" w:space="0" w:color="auto"/>
              </w:divBdr>
            </w:div>
            <w:div w:id="2027440766">
              <w:marLeft w:val="0"/>
              <w:marRight w:val="0"/>
              <w:marTop w:val="0"/>
              <w:marBottom w:val="0"/>
              <w:divBdr>
                <w:top w:val="none" w:sz="0" w:space="0" w:color="auto"/>
                <w:left w:val="none" w:sz="0" w:space="0" w:color="auto"/>
                <w:bottom w:val="none" w:sz="0" w:space="0" w:color="auto"/>
                <w:right w:val="none" w:sz="0" w:space="0" w:color="auto"/>
              </w:divBdr>
            </w:div>
            <w:div w:id="2102675505">
              <w:marLeft w:val="0"/>
              <w:marRight w:val="0"/>
              <w:marTop w:val="0"/>
              <w:marBottom w:val="0"/>
              <w:divBdr>
                <w:top w:val="none" w:sz="0" w:space="0" w:color="auto"/>
                <w:left w:val="none" w:sz="0" w:space="0" w:color="auto"/>
                <w:bottom w:val="none" w:sz="0" w:space="0" w:color="auto"/>
                <w:right w:val="none" w:sz="0" w:space="0" w:color="auto"/>
              </w:divBdr>
            </w:div>
            <w:div w:id="2104300126">
              <w:marLeft w:val="0"/>
              <w:marRight w:val="0"/>
              <w:marTop w:val="0"/>
              <w:marBottom w:val="0"/>
              <w:divBdr>
                <w:top w:val="none" w:sz="0" w:space="0" w:color="auto"/>
                <w:left w:val="none" w:sz="0" w:space="0" w:color="auto"/>
                <w:bottom w:val="none" w:sz="0" w:space="0" w:color="auto"/>
                <w:right w:val="none" w:sz="0" w:space="0" w:color="auto"/>
              </w:divBdr>
            </w:div>
            <w:div w:id="2134250851">
              <w:marLeft w:val="0"/>
              <w:marRight w:val="0"/>
              <w:marTop w:val="0"/>
              <w:marBottom w:val="0"/>
              <w:divBdr>
                <w:top w:val="none" w:sz="0" w:space="0" w:color="auto"/>
                <w:left w:val="none" w:sz="0" w:space="0" w:color="auto"/>
                <w:bottom w:val="none" w:sz="0" w:space="0" w:color="auto"/>
                <w:right w:val="none" w:sz="0" w:space="0" w:color="auto"/>
              </w:divBdr>
            </w:div>
            <w:div w:id="214527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385106">
      <w:bodyDiv w:val="1"/>
      <w:marLeft w:val="0"/>
      <w:marRight w:val="0"/>
      <w:marTop w:val="0"/>
      <w:marBottom w:val="0"/>
      <w:divBdr>
        <w:top w:val="none" w:sz="0" w:space="0" w:color="auto"/>
        <w:left w:val="none" w:sz="0" w:space="0" w:color="auto"/>
        <w:bottom w:val="none" w:sz="0" w:space="0" w:color="auto"/>
        <w:right w:val="none" w:sz="0" w:space="0" w:color="auto"/>
      </w:divBdr>
    </w:div>
    <w:div w:id="1346057473">
      <w:bodyDiv w:val="1"/>
      <w:marLeft w:val="0"/>
      <w:marRight w:val="0"/>
      <w:marTop w:val="0"/>
      <w:marBottom w:val="0"/>
      <w:divBdr>
        <w:top w:val="none" w:sz="0" w:space="0" w:color="auto"/>
        <w:left w:val="none" w:sz="0" w:space="0" w:color="auto"/>
        <w:bottom w:val="none" w:sz="0" w:space="0" w:color="auto"/>
        <w:right w:val="none" w:sz="0" w:space="0" w:color="auto"/>
      </w:divBdr>
      <w:divsChild>
        <w:div w:id="857155839">
          <w:marLeft w:val="480"/>
          <w:marRight w:val="0"/>
          <w:marTop w:val="0"/>
          <w:marBottom w:val="0"/>
          <w:divBdr>
            <w:top w:val="none" w:sz="0" w:space="0" w:color="auto"/>
            <w:left w:val="none" w:sz="0" w:space="0" w:color="auto"/>
            <w:bottom w:val="none" w:sz="0" w:space="0" w:color="auto"/>
            <w:right w:val="none" w:sz="0" w:space="0" w:color="auto"/>
          </w:divBdr>
          <w:divsChild>
            <w:div w:id="140463919">
              <w:marLeft w:val="0"/>
              <w:marRight w:val="0"/>
              <w:marTop w:val="0"/>
              <w:marBottom w:val="0"/>
              <w:divBdr>
                <w:top w:val="none" w:sz="0" w:space="0" w:color="auto"/>
                <w:left w:val="none" w:sz="0" w:space="0" w:color="auto"/>
                <w:bottom w:val="none" w:sz="0" w:space="0" w:color="auto"/>
                <w:right w:val="none" w:sz="0" w:space="0" w:color="auto"/>
              </w:divBdr>
            </w:div>
            <w:div w:id="154037271">
              <w:marLeft w:val="0"/>
              <w:marRight w:val="0"/>
              <w:marTop w:val="0"/>
              <w:marBottom w:val="0"/>
              <w:divBdr>
                <w:top w:val="none" w:sz="0" w:space="0" w:color="auto"/>
                <w:left w:val="none" w:sz="0" w:space="0" w:color="auto"/>
                <w:bottom w:val="none" w:sz="0" w:space="0" w:color="auto"/>
                <w:right w:val="none" w:sz="0" w:space="0" w:color="auto"/>
              </w:divBdr>
            </w:div>
            <w:div w:id="166944751">
              <w:marLeft w:val="0"/>
              <w:marRight w:val="0"/>
              <w:marTop w:val="0"/>
              <w:marBottom w:val="0"/>
              <w:divBdr>
                <w:top w:val="none" w:sz="0" w:space="0" w:color="auto"/>
                <w:left w:val="none" w:sz="0" w:space="0" w:color="auto"/>
                <w:bottom w:val="none" w:sz="0" w:space="0" w:color="auto"/>
                <w:right w:val="none" w:sz="0" w:space="0" w:color="auto"/>
              </w:divBdr>
            </w:div>
            <w:div w:id="204801190">
              <w:marLeft w:val="0"/>
              <w:marRight w:val="0"/>
              <w:marTop w:val="0"/>
              <w:marBottom w:val="0"/>
              <w:divBdr>
                <w:top w:val="none" w:sz="0" w:space="0" w:color="auto"/>
                <w:left w:val="none" w:sz="0" w:space="0" w:color="auto"/>
                <w:bottom w:val="none" w:sz="0" w:space="0" w:color="auto"/>
                <w:right w:val="none" w:sz="0" w:space="0" w:color="auto"/>
              </w:divBdr>
            </w:div>
            <w:div w:id="214851966">
              <w:marLeft w:val="0"/>
              <w:marRight w:val="0"/>
              <w:marTop w:val="0"/>
              <w:marBottom w:val="0"/>
              <w:divBdr>
                <w:top w:val="none" w:sz="0" w:space="0" w:color="auto"/>
                <w:left w:val="none" w:sz="0" w:space="0" w:color="auto"/>
                <w:bottom w:val="none" w:sz="0" w:space="0" w:color="auto"/>
                <w:right w:val="none" w:sz="0" w:space="0" w:color="auto"/>
              </w:divBdr>
            </w:div>
            <w:div w:id="248776955">
              <w:marLeft w:val="0"/>
              <w:marRight w:val="0"/>
              <w:marTop w:val="0"/>
              <w:marBottom w:val="0"/>
              <w:divBdr>
                <w:top w:val="none" w:sz="0" w:space="0" w:color="auto"/>
                <w:left w:val="none" w:sz="0" w:space="0" w:color="auto"/>
                <w:bottom w:val="none" w:sz="0" w:space="0" w:color="auto"/>
                <w:right w:val="none" w:sz="0" w:space="0" w:color="auto"/>
              </w:divBdr>
            </w:div>
            <w:div w:id="262961618">
              <w:marLeft w:val="0"/>
              <w:marRight w:val="0"/>
              <w:marTop w:val="0"/>
              <w:marBottom w:val="0"/>
              <w:divBdr>
                <w:top w:val="none" w:sz="0" w:space="0" w:color="auto"/>
                <w:left w:val="none" w:sz="0" w:space="0" w:color="auto"/>
                <w:bottom w:val="none" w:sz="0" w:space="0" w:color="auto"/>
                <w:right w:val="none" w:sz="0" w:space="0" w:color="auto"/>
              </w:divBdr>
            </w:div>
            <w:div w:id="393117426">
              <w:marLeft w:val="0"/>
              <w:marRight w:val="0"/>
              <w:marTop w:val="0"/>
              <w:marBottom w:val="0"/>
              <w:divBdr>
                <w:top w:val="none" w:sz="0" w:space="0" w:color="auto"/>
                <w:left w:val="none" w:sz="0" w:space="0" w:color="auto"/>
                <w:bottom w:val="none" w:sz="0" w:space="0" w:color="auto"/>
                <w:right w:val="none" w:sz="0" w:space="0" w:color="auto"/>
              </w:divBdr>
            </w:div>
            <w:div w:id="435491612">
              <w:marLeft w:val="0"/>
              <w:marRight w:val="0"/>
              <w:marTop w:val="0"/>
              <w:marBottom w:val="0"/>
              <w:divBdr>
                <w:top w:val="none" w:sz="0" w:space="0" w:color="auto"/>
                <w:left w:val="none" w:sz="0" w:space="0" w:color="auto"/>
                <w:bottom w:val="none" w:sz="0" w:space="0" w:color="auto"/>
                <w:right w:val="none" w:sz="0" w:space="0" w:color="auto"/>
              </w:divBdr>
            </w:div>
            <w:div w:id="451024063">
              <w:marLeft w:val="0"/>
              <w:marRight w:val="0"/>
              <w:marTop w:val="0"/>
              <w:marBottom w:val="0"/>
              <w:divBdr>
                <w:top w:val="none" w:sz="0" w:space="0" w:color="auto"/>
                <w:left w:val="none" w:sz="0" w:space="0" w:color="auto"/>
                <w:bottom w:val="none" w:sz="0" w:space="0" w:color="auto"/>
                <w:right w:val="none" w:sz="0" w:space="0" w:color="auto"/>
              </w:divBdr>
            </w:div>
            <w:div w:id="471096006">
              <w:marLeft w:val="0"/>
              <w:marRight w:val="0"/>
              <w:marTop w:val="0"/>
              <w:marBottom w:val="0"/>
              <w:divBdr>
                <w:top w:val="none" w:sz="0" w:space="0" w:color="auto"/>
                <w:left w:val="none" w:sz="0" w:space="0" w:color="auto"/>
                <w:bottom w:val="none" w:sz="0" w:space="0" w:color="auto"/>
                <w:right w:val="none" w:sz="0" w:space="0" w:color="auto"/>
              </w:divBdr>
            </w:div>
            <w:div w:id="557282951">
              <w:marLeft w:val="0"/>
              <w:marRight w:val="0"/>
              <w:marTop w:val="0"/>
              <w:marBottom w:val="0"/>
              <w:divBdr>
                <w:top w:val="none" w:sz="0" w:space="0" w:color="auto"/>
                <w:left w:val="none" w:sz="0" w:space="0" w:color="auto"/>
                <w:bottom w:val="none" w:sz="0" w:space="0" w:color="auto"/>
                <w:right w:val="none" w:sz="0" w:space="0" w:color="auto"/>
              </w:divBdr>
            </w:div>
            <w:div w:id="573778196">
              <w:marLeft w:val="0"/>
              <w:marRight w:val="0"/>
              <w:marTop w:val="0"/>
              <w:marBottom w:val="0"/>
              <w:divBdr>
                <w:top w:val="none" w:sz="0" w:space="0" w:color="auto"/>
                <w:left w:val="none" w:sz="0" w:space="0" w:color="auto"/>
                <w:bottom w:val="none" w:sz="0" w:space="0" w:color="auto"/>
                <w:right w:val="none" w:sz="0" w:space="0" w:color="auto"/>
              </w:divBdr>
            </w:div>
            <w:div w:id="621769850">
              <w:marLeft w:val="0"/>
              <w:marRight w:val="0"/>
              <w:marTop w:val="0"/>
              <w:marBottom w:val="0"/>
              <w:divBdr>
                <w:top w:val="none" w:sz="0" w:space="0" w:color="auto"/>
                <w:left w:val="none" w:sz="0" w:space="0" w:color="auto"/>
                <w:bottom w:val="none" w:sz="0" w:space="0" w:color="auto"/>
                <w:right w:val="none" w:sz="0" w:space="0" w:color="auto"/>
              </w:divBdr>
            </w:div>
            <w:div w:id="631520038">
              <w:marLeft w:val="0"/>
              <w:marRight w:val="0"/>
              <w:marTop w:val="0"/>
              <w:marBottom w:val="0"/>
              <w:divBdr>
                <w:top w:val="none" w:sz="0" w:space="0" w:color="auto"/>
                <w:left w:val="none" w:sz="0" w:space="0" w:color="auto"/>
                <w:bottom w:val="none" w:sz="0" w:space="0" w:color="auto"/>
                <w:right w:val="none" w:sz="0" w:space="0" w:color="auto"/>
              </w:divBdr>
            </w:div>
            <w:div w:id="659312348">
              <w:marLeft w:val="0"/>
              <w:marRight w:val="0"/>
              <w:marTop w:val="0"/>
              <w:marBottom w:val="0"/>
              <w:divBdr>
                <w:top w:val="none" w:sz="0" w:space="0" w:color="auto"/>
                <w:left w:val="none" w:sz="0" w:space="0" w:color="auto"/>
                <w:bottom w:val="none" w:sz="0" w:space="0" w:color="auto"/>
                <w:right w:val="none" w:sz="0" w:space="0" w:color="auto"/>
              </w:divBdr>
            </w:div>
            <w:div w:id="700325097">
              <w:marLeft w:val="0"/>
              <w:marRight w:val="0"/>
              <w:marTop w:val="0"/>
              <w:marBottom w:val="0"/>
              <w:divBdr>
                <w:top w:val="none" w:sz="0" w:space="0" w:color="auto"/>
                <w:left w:val="none" w:sz="0" w:space="0" w:color="auto"/>
                <w:bottom w:val="none" w:sz="0" w:space="0" w:color="auto"/>
                <w:right w:val="none" w:sz="0" w:space="0" w:color="auto"/>
              </w:divBdr>
            </w:div>
            <w:div w:id="712195987">
              <w:marLeft w:val="0"/>
              <w:marRight w:val="0"/>
              <w:marTop w:val="0"/>
              <w:marBottom w:val="0"/>
              <w:divBdr>
                <w:top w:val="none" w:sz="0" w:space="0" w:color="auto"/>
                <w:left w:val="none" w:sz="0" w:space="0" w:color="auto"/>
                <w:bottom w:val="none" w:sz="0" w:space="0" w:color="auto"/>
                <w:right w:val="none" w:sz="0" w:space="0" w:color="auto"/>
              </w:divBdr>
            </w:div>
            <w:div w:id="784229305">
              <w:marLeft w:val="0"/>
              <w:marRight w:val="0"/>
              <w:marTop w:val="0"/>
              <w:marBottom w:val="0"/>
              <w:divBdr>
                <w:top w:val="none" w:sz="0" w:space="0" w:color="auto"/>
                <w:left w:val="none" w:sz="0" w:space="0" w:color="auto"/>
                <w:bottom w:val="none" w:sz="0" w:space="0" w:color="auto"/>
                <w:right w:val="none" w:sz="0" w:space="0" w:color="auto"/>
              </w:divBdr>
            </w:div>
            <w:div w:id="802894917">
              <w:marLeft w:val="0"/>
              <w:marRight w:val="0"/>
              <w:marTop w:val="0"/>
              <w:marBottom w:val="0"/>
              <w:divBdr>
                <w:top w:val="none" w:sz="0" w:space="0" w:color="auto"/>
                <w:left w:val="none" w:sz="0" w:space="0" w:color="auto"/>
                <w:bottom w:val="none" w:sz="0" w:space="0" w:color="auto"/>
                <w:right w:val="none" w:sz="0" w:space="0" w:color="auto"/>
              </w:divBdr>
            </w:div>
            <w:div w:id="847719488">
              <w:marLeft w:val="0"/>
              <w:marRight w:val="0"/>
              <w:marTop w:val="0"/>
              <w:marBottom w:val="0"/>
              <w:divBdr>
                <w:top w:val="none" w:sz="0" w:space="0" w:color="auto"/>
                <w:left w:val="none" w:sz="0" w:space="0" w:color="auto"/>
                <w:bottom w:val="none" w:sz="0" w:space="0" w:color="auto"/>
                <w:right w:val="none" w:sz="0" w:space="0" w:color="auto"/>
              </w:divBdr>
            </w:div>
            <w:div w:id="921790227">
              <w:marLeft w:val="0"/>
              <w:marRight w:val="0"/>
              <w:marTop w:val="0"/>
              <w:marBottom w:val="0"/>
              <w:divBdr>
                <w:top w:val="none" w:sz="0" w:space="0" w:color="auto"/>
                <w:left w:val="none" w:sz="0" w:space="0" w:color="auto"/>
                <w:bottom w:val="none" w:sz="0" w:space="0" w:color="auto"/>
                <w:right w:val="none" w:sz="0" w:space="0" w:color="auto"/>
              </w:divBdr>
            </w:div>
            <w:div w:id="922567670">
              <w:marLeft w:val="0"/>
              <w:marRight w:val="0"/>
              <w:marTop w:val="0"/>
              <w:marBottom w:val="0"/>
              <w:divBdr>
                <w:top w:val="none" w:sz="0" w:space="0" w:color="auto"/>
                <w:left w:val="none" w:sz="0" w:space="0" w:color="auto"/>
                <w:bottom w:val="none" w:sz="0" w:space="0" w:color="auto"/>
                <w:right w:val="none" w:sz="0" w:space="0" w:color="auto"/>
              </w:divBdr>
            </w:div>
            <w:div w:id="958221700">
              <w:marLeft w:val="0"/>
              <w:marRight w:val="0"/>
              <w:marTop w:val="0"/>
              <w:marBottom w:val="0"/>
              <w:divBdr>
                <w:top w:val="none" w:sz="0" w:space="0" w:color="auto"/>
                <w:left w:val="none" w:sz="0" w:space="0" w:color="auto"/>
                <w:bottom w:val="none" w:sz="0" w:space="0" w:color="auto"/>
                <w:right w:val="none" w:sz="0" w:space="0" w:color="auto"/>
              </w:divBdr>
            </w:div>
            <w:div w:id="972904820">
              <w:marLeft w:val="0"/>
              <w:marRight w:val="0"/>
              <w:marTop w:val="0"/>
              <w:marBottom w:val="0"/>
              <w:divBdr>
                <w:top w:val="none" w:sz="0" w:space="0" w:color="auto"/>
                <w:left w:val="none" w:sz="0" w:space="0" w:color="auto"/>
                <w:bottom w:val="none" w:sz="0" w:space="0" w:color="auto"/>
                <w:right w:val="none" w:sz="0" w:space="0" w:color="auto"/>
              </w:divBdr>
            </w:div>
            <w:div w:id="1007560628">
              <w:marLeft w:val="0"/>
              <w:marRight w:val="0"/>
              <w:marTop w:val="0"/>
              <w:marBottom w:val="0"/>
              <w:divBdr>
                <w:top w:val="none" w:sz="0" w:space="0" w:color="auto"/>
                <w:left w:val="none" w:sz="0" w:space="0" w:color="auto"/>
                <w:bottom w:val="none" w:sz="0" w:space="0" w:color="auto"/>
                <w:right w:val="none" w:sz="0" w:space="0" w:color="auto"/>
              </w:divBdr>
            </w:div>
            <w:div w:id="1021904386">
              <w:marLeft w:val="0"/>
              <w:marRight w:val="0"/>
              <w:marTop w:val="0"/>
              <w:marBottom w:val="0"/>
              <w:divBdr>
                <w:top w:val="none" w:sz="0" w:space="0" w:color="auto"/>
                <w:left w:val="none" w:sz="0" w:space="0" w:color="auto"/>
                <w:bottom w:val="none" w:sz="0" w:space="0" w:color="auto"/>
                <w:right w:val="none" w:sz="0" w:space="0" w:color="auto"/>
              </w:divBdr>
            </w:div>
            <w:div w:id="1056667407">
              <w:marLeft w:val="0"/>
              <w:marRight w:val="0"/>
              <w:marTop w:val="0"/>
              <w:marBottom w:val="0"/>
              <w:divBdr>
                <w:top w:val="none" w:sz="0" w:space="0" w:color="auto"/>
                <w:left w:val="none" w:sz="0" w:space="0" w:color="auto"/>
                <w:bottom w:val="none" w:sz="0" w:space="0" w:color="auto"/>
                <w:right w:val="none" w:sz="0" w:space="0" w:color="auto"/>
              </w:divBdr>
            </w:div>
            <w:div w:id="1093478052">
              <w:marLeft w:val="0"/>
              <w:marRight w:val="0"/>
              <w:marTop w:val="0"/>
              <w:marBottom w:val="0"/>
              <w:divBdr>
                <w:top w:val="none" w:sz="0" w:space="0" w:color="auto"/>
                <w:left w:val="none" w:sz="0" w:space="0" w:color="auto"/>
                <w:bottom w:val="none" w:sz="0" w:space="0" w:color="auto"/>
                <w:right w:val="none" w:sz="0" w:space="0" w:color="auto"/>
              </w:divBdr>
            </w:div>
            <w:div w:id="1126047560">
              <w:marLeft w:val="0"/>
              <w:marRight w:val="0"/>
              <w:marTop w:val="0"/>
              <w:marBottom w:val="0"/>
              <w:divBdr>
                <w:top w:val="none" w:sz="0" w:space="0" w:color="auto"/>
                <w:left w:val="none" w:sz="0" w:space="0" w:color="auto"/>
                <w:bottom w:val="none" w:sz="0" w:space="0" w:color="auto"/>
                <w:right w:val="none" w:sz="0" w:space="0" w:color="auto"/>
              </w:divBdr>
            </w:div>
            <w:div w:id="1138690858">
              <w:marLeft w:val="0"/>
              <w:marRight w:val="0"/>
              <w:marTop w:val="0"/>
              <w:marBottom w:val="0"/>
              <w:divBdr>
                <w:top w:val="none" w:sz="0" w:space="0" w:color="auto"/>
                <w:left w:val="none" w:sz="0" w:space="0" w:color="auto"/>
                <w:bottom w:val="none" w:sz="0" w:space="0" w:color="auto"/>
                <w:right w:val="none" w:sz="0" w:space="0" w:color="auto"/>
              </w:divBdr>
            </w:div>
            <w:div w:id="1145703425">
              <w:marLeft w:val="0"/>
              <w:marRight w:val="0"/>
              <w:marTop w:val="0"/>
              <w:marBottom w:val="0"/>
              <w:divBdr>
                <w:top w:val="none" w:sz="0" w:space="0" w:color="auto"/>
                <w:left w:val="none" w:sz="0" w:space="0" w:color="auto"/>
                <w:bottom w:val="none" w:sz="0" w:space="0" w:color="auto"/>
                <w:right w:val="none" w:sz="0" w:space="0" w:color="auto"/>
              </w:divBdr>
            </w:div>
            <w:div w:id="1198422963">
              <w:marLeft w:val="0"/>
              <w:marRight w:val="0"/>
              <w:marTop w:val="0"/>
              <w:marBottom w:val="0"/>
              <w:divBdr>
                <w:top w:val="none" w:sz="0" w:space="0" w:color="auto"/>
                <w:left w:val="none" w:sz="0" w:space="0" w:color="auto"/>
                <w:bottom w:val="none" w:sz="0" w:space="0" w:color="auto"/>
                <w:right w:val="none" w:sz="0" w:space="0" w:color="auto"/>
              </w:divBdr>
            </w:div>
            <w:div w:id="1206218579">
              <w:marLeft w:val="0"/>
              <w:marRight w:val="0"/>
              <w:marTop w:val="0"/>
              <w:marBottom w:val="0"/>
              <w:divBdr>
                <w:top w:val="none" w:sz="0" w:space="0" w:color="auto"/>
                <w:left w:val="none" w:sz="0" w:space="0" w:color="auto"/>
                <w:bottom w:val="none" w:sz="0" w:space="0" w:color="auto"/>
                <w:right w:val="none" w:sz="0" w:space="0" w:color="auto"/>
              </w:divBdr>
            </w:div>
            <w:div w:id="1209995824">
              <w:marLeft w:val="0"/>
              <w:marRight w:val="0"/>
              <w:marTop w:val="0"/>
              <w:marBottom w:val="0"/>
              <w:divBdr>
                <w:top w:val="none" w:sz="0" w:space="0" w:color="auto"/>
                <w:left w:val="none" w:sz="0" w:space="0" w:color="auto"/>
                <w:bottom w:val="none" w:sz="0" w:space="0" w:color="auto"/>
                <w:right w:val="none" w:sz="0" w:space="0" w:color="auto"/>
              </w:divBdr>
            </w:div>
            <w:div w:id="1239096230">
              <w:marLeft w:val="0"/>
              <w:marRight w:val="0"/>
              <w:marTop w:val="0"/>
              <w:marBottom w:val="0"/>
              <w:divBdr>
                <w:top w:val="none" w:sz="0" w:space="0" w:color="auto"/>
                <w:left w:val="none" w:sz="0" w:space="0" w:color="auto"/>
                <w:bottom w:val="none" w:sz="0" w:space="0" w:color="auto"/>
                <w:right w:val="none" w:sz="0" w:space="0" w:color="auto"/>
              </w:divBdr>
            </w:div>
            <w:div w:id="1265963075">
              <w:marLeft w:val="0"/>
              <w:marRight w:val="0"/>
              <w:marTop w:val="0"/>
              <w:marBottom w:val="0"/>
              <w:divBdr>
                <w:top w:val="none" w:sz="0" w:space="0" w:color="auto"/>
                <w:left w:val="none" w:sz="0" w:space="0" w:color="auto"/>
                <w:bottom w:val="none" w:sz="0" w:space="0" w:color="auto"/>
                <w:right w:val="none" w:sz="0" w:space="0" w:color="auto"/>
              </w:divBdr>
            </w:div>
            <w:div w:id="1289780629">
              <w:marLeft w:val="0"/>
              <w:marRight w:val="0"/>
              <w:marTop w:val="0"/>
              <w:marBottom w:val="0"/>
              <w:divBdr>
                <w:top w:val="none" w:sz="0" w:space="0" w:color="auto"/>
                <w:left w:val="none" w:sz="0" w:space="0" w:color="auto"/>
                <w:bottom w:val="none" w:sz="0" w:space="0" w:color="auto"/>
                <w:right w:val="none" w:sz="0" w:space="0" w:color="auto"/>
              </w:divBdr>
            </w:div>
            <w:div w:id="1330669324">
              <w:marLeft w:val="0"/>
              <w:marRight w:val="0"/>
              <w:marTop w:val="0"/>
              <w:marBottom w:val="0"/>
              <w:divBdr>
                <w:top w:val="none" w:sz="0" w:space="0" w:color="auto"/>
                <w:left w:val="none" w:sz="0" w:space="0" w:color="auto"/>
                <w:bottom w:val="none" w:sz="0" w:space="0" w:color="auto"/>
                <w:right w:val="none" w:sz="0" w:space="0" w:color="auto"/>
              </w:divBdr>
            </w:div>
            <w:div w:id="1361660771">
              <w:marLeft w:val="0"/>
              <w:marRight w:val="0"/>
              <w:marTop w:val="0"/>
              <w:marBottom w:val="0"/>
              <w:divBdr>
                <w:top w:val="none" w:sz="0" w:space="0" w:color="auto"/>
                <w:left w:val="none" w:sz="0" w:space="0" w:color="auto"/>
                <w:bottom w:val="none" w:sz="0" w:space="0" w:color="auto"/>
                <w:right w:val="none" w:sz="0" w:space="0" w:color="auto"/>
              </w:divBdr>
            </w:div>
            <w:div w:id="1390886018">
              <w:marLeft w:val="0"/>
              <w:marRight w:val="0"/>
              <w:marTop w:val="0"/>
              <w:marBottom w:val="0"/>
              <w:divBdr>
                <w:top w:val="none" w:sz="0" w:space="0" w:color="auto"/>
                <w:left w:val="none" w:sz="0" w:space="0" w:color="auto"/>
                <w:bottom w:val="none" w:sz="0" w:space="0" w:color="auto"/>
                <w:right w:val="none" w:sz="0" w:space="0" w:color="auto"/>
              </w:divBdr>
            </w:div>
            <w:div w:id="1402950834">
              <w:marLeft w:val="0"/>
              <w:marRight w:val="0"/>
              <w:marTop w:val="0"/>
              <w:marBottom w:val="0"/>
              <w:divBdr>
                <w:top w:val="none" w:sz="0" w:space="0" w:color="auto"/>
                <w:left w:val="none" w:sz="0" w:space="0" w:color="auto"/>
                <w:bottom w:val="none" w:sz="0" w:space="0" w:color="auto"/>
                <w:right w:val="none" w:sz="0" w:space="0" w:color="auto"/>
              </w:divBdr>
            </w:div>
            <w:div w:id="1411151413">
              <w:marLeft w:val="0"/>
              <w:marRight w:val="0"/>
              <w:marTop w:val="0"/>
              <w:marBottom w:val="0"/>
              <w:divBdr>
                <w:top w:val="none" w:sz="0" w:space="0" w:color="auto"/>
                <w:left w:val="none" w:sz="0" w:space="0" w:color="auto"/>
                <w:bottom w:val="none" w:sz="0" w:space="0" w:color="auto"/>
                <w:right w:val="none" w:sz="0" w:space="0" w:color="auto"/>
              </w:divBdr>
            </w:div>
            <w:div w:id="1439987209">
              <w:marLeft w:val="0"/>
              <w:marRight w:val="0"/>
              <w:marTop w:val="0"/>
              <w:marBottom w:val="0"/>
              <w:divBdr>
                <w:top w:val="none" w:sz="0" w:space="0" w:color="auto"/>
                <w:left w:val="none" w:sz="0" w:space="0" w:color="auto"/>
                <w:bottom w:val="none" w:sz="0" w:space="0" w:color="auto"/>
                <w:right w:val="none" w:sz="0" w:space="0" w:color="auto"/>
              </w:divBdr>
            </w:div>
            <w:div w:id="1463769352">
              <w:marLeft w:val="0"/>
              <w:marRight w:val="0"/>
              <w:marTop w:val="0"/>
              <w:marBottom w:val="0"/>
              <w:divBdr>
                <w:top w:val="none" w:sz="0" w:space="0" w:color="auto"/>
                <w:left w:val="none" w:sz="0" w:space="0" w:color="auto"/>
                <w:bottom w:val="none" w:sz="0" w:space="0" w:color="auto"/>
                <w:right w:val="none" w:sz="0" w:space="0" w:color="auto"/>
              </w:divBdr>
            </w:div>
            <w:div w:id="1506819985">
              <w:marLeft w:val="0"/>
              <w:marRight w:val="0"/>
              <w:marTop w:val="0"/>
              <w:marBottom w:val="0"/>
              <w:divBdr>
                <w:top w:val="none" w:sz="0" w:space="0" w:color="auto"/>
                <w:left w:val="none" w:sz="0" w:space="0" w:color="auto"/>
                <w:bottom w:val="none" w:sz="0" w:space="0" w:color="auto"/>
                <w:right w:val="none" w:sz="0" w:space="0" w:color="auto"/>
              </w:divBdr>
            </w:div>
            <w:div w:id="1509713604">
              <w:marLeft w:val="0"/>
              <w:marRight w:val="0"/>
              <w:marTop w:val="0"/>
              <w:marBottom w:val="0"/>
              <w:divBdr>
                <w:top w:val="none" w:sz="0" w:space="0" w:color="auto"/>
                <w:left w:val="none" w:sz="0" w:space="0" w:color="auto"/>
                <w:bottom w:val="none" w:sz="0" w:space="0" w:color="auto"/>
                <w:right w:val="none" w:sz="0" w:space="0" w:color="auto"/>
              </w:divBdr>
            </w:div>
            <w:div w:id="1512335614">
              <w:marLeft w:val="0"/>
              <w:marRight w:val="0"/>
              <w:marTop w:val="0"/>
              <w:marBottom w:val="0"/>
              <w:divBdr>
                <w:top w:val="none" w:sz="0" w:space="0" w:color="auto"/>
                <w:left w:val="none" w:sz="0" w:space="0" w:color="auto"/>
                <w:bottom w:val="none" w:sz="0" w:space="0" w:color="auto"/>
                <w:right w:val="none" w:sz="0" w:space="0" w:color="auto"/>
              </w:divBdr>
            </w:div>
            <w:div w:id="1516188871">
              <w:marLeft w:val="0"/>
              <w:marRight w:val="0"/>
              <w:marTop w:val="0"/>
              <w:marBottom w:val="0"/>
              <w:divBdr>
                <w:top w:val="none" w:sz="0" w:space="0" w:color="auto"/>
                <w:left w:val="none" w:sz="0" w:space="0" w:color="auto"/>
                <w:bottom w:val="none" w:sz="0" w:space="0" w:color="auto"/>
                <w:right w:val="none" w:sz="0" w:space="0" w:color="auto"/>
              </w:divBdr>
            </w:div>
            <w:div w:id="1569147570">
              <w:marLeft w:val="0"/>
              <w:marRight w:val="0"/>
              <w:marTop w:val="0"/>
              <w:marBottom w:val="0"/>
              <w:divBdr>
                <w:top w:val="none" w:sz="0" w:space="0" w:color="auto"/>
                <w:left w:val="none" w:sz="0" w:space="0" w:color="auto"/>
                <w:bottom w:val="none" w:sz="0" w:space="0" w:color="auto"/>
                <w:right w:val="none" w:sz="0" w:space="0" w:color="auto"/>
              </w:divBdr>
            </w:div>
            <w:div w:id="1588227779">
              <w:marLeft w:val="0"/>
              <w:marRight w:val="0"/>
              <w:marTop w:val="0"/>
              <w:marBottom w:val="0"/>
              <w:divBdr>
                <w:top w:val="none" w:sz="0" w:space="0" w:color="auto"/>
                <w:left w:val="none" w:sz="0" w:space="0" w:color="auto"/>
                <w:bottom w:val="none" w:sz="0" w:space="0" w:color="auto"/>
                <w:right w:val="none" w:sz="0" w:space="0" w:color="auto"/>
              </w:divBdr>
            </w:div>
            <w:div w:id="1595896097">
              <w:marLeft w:val="0"/>
              <w:marRight w:val="0"/>
              <w:marTop w:val="0"/>
              <w:marBottom w:val="0"/>
              <w:divBdr>
                <w:top w:val="none" w:sz="0" w:space="0" w:color="auto"/>
                <w:left w:val="none" w:sz="0" w:space="0" w:color="auto"/>
                <w:bottom w:val="none" w:sz="0" w:space="0" w:color="auto"/>
                <w:right w:val="none" w:sz="0" w:space="0" w:color="auto"/>
              </w:divBdr>
            </w:div>
            <w:div w:id="1661614029">
              <w:marLeft w:val="0"/>
              <w:marRight w:val="0"/>
              <w:marTop w:val="0"/>
              <w:marBottom w:val="0"/>
              <w:divBdr>
                <w:top w:val="none" w:sz="0" w:space="0" w:color="auto"/>
                <w:left w:val="none" w:sz="0" w:space="0" w:color="auto"/>
                <w:bottom w:val="none" w:sz="0" w:space="0" w:color="auto"/>
                <w:right w:val="none" w:sz="0" w:space="0" w:color="auto"/>
              </w:divBdr>
            </w:div>
            <w:div w:id="1674213612">
              <w:marLeft w:val="0"/>
              <w:marRight w:val="0"/>
              <w:marTop w:val="0"/>
              <w:marBottom w:val="0"/>
              <w:divBdr>
                <w:top w:val="none" w:sz="0" w:space="0" w:color="auto"/>
                <w:left w:val="none" w:sz="0" w:space="0" w:color="auto"/>
                <w:bottom w:val="none" w:sz="0" w:space="0" w:color="auto"/>
                <w:right w:val="none" w:sz="0" w:space="0" w:color="auto"/>
              </w:divBdr>
            </w:div>
            <w:div w:id="1713918271">
              <w:marLeft w:val="0"/>
              <w:marRight w:val="0"/>
              <w:marTop w:val="0"/>
              <w:marBottom w:val="0"/>
              <w:divBdr>
                <w:top w:val="none" w:sz="0" w:space="0" w:color="auto"/>
                <w:left w:val="none" w:sz="0" w:space="0" w:color="auto"/>
                <w:bottom w:val="none" w:sz="0" w:space="0" w:color="auto"/>
                <w:right w:val="none" w:sz="0" w:space="0" w:color="auto"/>
              </w:divBdr>
            </w:div>
            <w:div w:id="1751854274">
              <w:marLeft w:val="0"/>
              <w:marRight w:val="0"/>
              <w:marTop w:val="0"/>
              <w:marBottom w:val="0"/>
              <w:divBdr>
                <w:top w:val="none" w:sz="0" w:space="0" w:color="auto"/>
                <w:left w:val="none" w:sz="0" w:space="0" w:color="auto"/>
                <w:bottom w:val="none" w:sz="0" w:space="0" w:color="auto"/>
                <w:right w:val="none" w:sz="0" w:space="0" w:color="auto"/>
              </w:divBdr>
            </w:div>
            <w:div w:id="1774932095">
              <w:marLeft w:val="0"/>
              <w:marRight w:val="0"/>
              <w:marTop w:val="0"/>
              <w:marBottom w:val="0"/>
              <w:divBdr>
                <w:top w:val="none" w:sz="0" w:space="0" w:color="auto"/>
                <w:left w:val="none" w:sz="0" w:space="0" w:color="auto"/>
                <w:bottom w:val="none" w:sz="0" w:space="0" w:color="auto"/>
                <w:right w:val="none" w:sz="0" w:space="0" w:color="auto"/>
              </w:divBdr>
            </w:div>
            <w:div w:id="1786655506">
              <w:marLeft w:val="0"/>
              <w:marRight w:val="0"/>
              <w:marTop w:val="0"/>
              <w:marBottom w:val="0"/>
              <w:divBdr>
                <w:top w:val="none" w:sz="0" w:space="0" w:color="auto"/>
                <w:left w:val="none" w:sz="0" w:space="0" w:color="auto"/>
                <w:bottom w:val="none" w:sz="0" w:space="0" w:color="auto"/>
                <w:right w:val="none" w:sz="0" w:space="0" w:color="auto"/>
              </w:divBdr>
            </w:div>
            <w:div w:id="1819683136">
              <w:marLeft w:val="0"/>
              <w:marRight w:val="0"/>
              <w:marTop w:val="0"/>
              <w:marBottom w:val="0"/>
              <w:divBdr>
                <w:top w:val="none" w:sz="0" w:space="0" w:color="auto"/>
                <w:left w:val="none" w:sz="0" w:space="0" w:color="auto"/>
                <w:bottom w:val="none" w:sz="0" w:space="0" w:color="auto"/>
                <w:right w:val="none" w:sz="0" w:space="0" w:color="auto"/>
              </w:divBdr>
            </w:div>
            <w:div w:id="1876503306">
              <w:marLeft w:val="0"/>
              <w:marRight w:val="0"/>
              <w:marTop w:val="0"/>
              <w:marBottom w:val="0"/>
              <w:divBdr>
                <w:top w:val="none" w:sz="0" w:space="0" w:color="auto"/>
                <w:left w:val="none" w:sz="0" w:space="0" w:color="auto"/>
                <w:bottom w:val="none" w:sz="0" w:space="0" w:color="auto"/>
                <w:right w:val="none" w:sz="0" w:space="0" w:color="auto"/>
              </w:divBdr>
            </w:div>
            <w:div w:id="1894536480">
              <w:marLeft w:val="0"/>
              <w:marRight w:val="0"/>
              <w:marTop w:val="0"/>
              <w:marBottom w:val="0"/>
              <w:divBdr>
                <w:top w:val="none" w:sz="0" w:space="0" w:color="auto"/>
                <w:left w:val="none" w:sz="0" w:space="0" w:color="auto"/>
                <w:bottom w:val="none" w:sz="0" w:space="0" w:color="auto"/>
                <w:right w:val="none" w:sz="0" w:space="0" w:color="auto"/>
              </w:divBdr>
            </w:div>
            <w:div w:id="1904097555">
              <w:marLeft w:val="0"/>
              <w:marRight w:val="0"/>
              <w:marTop w:val="0"/>
              <w:marBottom w:val="0"/>
              <w:divBdr>
                <w:top w:val="none" w:sz="0" w:space="0" w:color="auto"/>
                <w:left w:val="none" w:sz="0" w:space="0" w:color="auto"/>
                <w:bottom w:val="none" w:sz="0" w:space="0" w:color="auto"/>
                <w:right w:val="none" w:sz="0" w:space="0" w:color="auto"/>
              </w:divBdr>
            </w:div>
            <w:div w:id="1923489716">
              <w:marLeft w:val="0"/>
              <w:marRight w:val="0"/>
              <w:marTop w:val="0"/>
              <w:marBottom w:val="0"/>
              <w:divBdr>
                <w:top w:val="none" w:sz="0" w:space="0" w:color="auto"/>
                <w:left w:val="none" w:sz="0" w:space="0" w:color="auto"/>
                <w:bottom w:val="none" w:sz="0" w:space="0" w:color="auto"/>
                <w:right w:val="none" w:sz="0" w:space="0" w:color="auto"/>
              </w:divBdr>
            </w:div>
            <w:div w:id="1965236006">
              <w:marLeft w:val="0"/>
              <w:marRight w:val="0"/>
              <w:marTop w:val="0"/>
              <w:marBottom w:val="0"/>
              <w:divBdr>
                <w:top w:val="none" w:sz="0" w:space="0" w:color="auto"/>
                <w:left w:val="none" w:sz="0" w:space="0" w:color="auto"/>
                <w:bottom w:val="none" w:sz="0" w:space="0" w:color="auto"/>
                <w:right w:val="none" w:sz="0" w:space="0" w:color="auto"/>
              </w:divBdr>
            </w:div>
            <w:div w:id="1999921310">
              <w:marLeft w:val="0"/>
              <w:marRight w:val="0"/>
              <w:marTop w:val="0"/>
              <w:marBottom w:val="0"/>
              <w:divBdr>
                <w:top w:val="none" w:sz="0" w:space="0" w:color="auto"/>
                <w:left w:val="none" w:sz="0" w:space="0" w:color="auto"/>
                <w:bottom w:val="none" w:sz="0" w:space="0" w:color="auto"/>
                <w:right w:val="none" w:sz="0" w:space="0" w:color="auto"/>
              </w:divBdr>
            </w:div>
            <w:div w:id="2040088417">
              <w:marLeft w:val="0"/>
              <w:marRight w:val="0"/>
              <w:marTop w:val="0"/>
              <w:marBottom w:val="0"/>
              <w:divBdr>
                <w:top w:val="none" w:sz="0" w:space="0" w:color="auto"/>
                <w:left w:val="none" w:sz="0" w:space="0" w:color="auto"/>
                <w:bottom w:val="none" w:sz="0" w:space="0" w:color="auto"/>
                <w:right w:val="none" w:sz="0" w:space="0" w:color="auto"/>
              </w:divBdr>
            </w:div>
            <w:div w:id="2046520027">
              <w:marLeft w:val="0"/>
              <w:marRight w:val="0"/>
              <w:marTop w:val="0"/>
              <w:marBottom w:val="0"/>
              <w:divBdr>
                <w:top w:val="none" w:sz="0" w:space="0" w:color="auto"/>
                <w:left w:val="none" w:sz="0" w:space="0" w:color="auto"/>
                <w:bottom w:val="none" w:sz="0" w:space="0" w:color="auto"/>
                <w:right w:val="none" w:sz="0" w:space="0" w:color="auto"/>
              </w:divBdr>
            </w:div>
            <w:div w:id="209015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055822">
      <w:bodyDiv w:val="1"/>
      <w:marLeft w:val="0"/>
      <w:marRight w:val="0"/>
      <w:marTop w:val="0"/>
      <w:marBottom w:val="0"/>
      <w:divBdr>
        <w:top w:val="none" w:sz="0" w:space="0" w:color="auto"/>
        <w:left w:val="none" w:sz="0" w:space="0" w:color="auto"/>
        <w:bottom w:val="none" w:sz="0" w:space="0" w:color="auto"/>
        <w:right w:val="none" w:sz="0" w:space="0" w:color="auto"/>
      </w:divBdr>
    </w:div>
    <w:div w:id="1787460550">
      <w:bodyDiv w:val="1"/>
      <w:marLeft w:val="0"/>
      <w:marRight w:val="0"/>
      <w:marTop w:val="0"/>
      <w:marBottom w:val="0"/>
      <w:divBdr>
        <w:top w:val="none" w:sz="0" w:space="0" w:color="auto"/>
        <w:left w:val="none" w:sz="0" w:space="0" w:color="auto"/>
        <w:bottom w:val="none" w:sz="0" w:space="0" w:color="auto"/>
        <w:right w:val="none" w:sz="0" w:space="0" w:color="auto"/>
      </w:divBdr>
    </w:div>
    <w:div w:id="1815365335">
      <w:bodyDiv w:val="1"/>
      <w:marLeft w:val="0"/>
      <w:marRight w:val="0"/>
      <w:marTop w:val="0"/>
      <w:marBottom w:val="0"/>
      <w:divBdr>
        <w:top w:val="none" w:sz="0" w:space="0" w:color="auto"/>
        <w:left w:val="none" w:sz="0" w:space="0" w:color="auto"/>
        <w:bottom w:val="none" w:sz="0" w:space="0" w:color="auto"/>
        <w:right w:val="none" w:sz="0" w:space="0" w:color="auto"/>
      </w:divBdr>
      <w:divsChild>
        <w:div w:id="1054160549">
          <w:marLeft w:val="480"/>
          <w:marRight w:val="0"/>
          <w:marTop w:val="0"/>
          <w:marBottom w:val="0"/>
          <w:divBdr>
            <w:top w:val="none" w:sz="0" w:space="0" w:color="auto"/>
            <w:left w:val="none" w:sz="0" w:space="0" w:color="auto"/>
            <w:bottom w:val="none" w:sz="0" w:space="0" w:color="auto"/>
            <w:right w:val="none" w:sz="0" w:space="0" w:color="auto"/>
          </w:divBdr>
          <w:divsChild>
            <w:div w:id="35787175">
              <w:marLeft w:val="0"/>
              <w:marRight w:val="0"/>
              <w:marTop w:val="0"/>
              <w:marBottom w:val="0"/>
              <w:divBdr>
                <w:top w:val="none" w:sz="0" w:space="0" w:color="auto"/>
                <w:left w:val="none" w:sz="0" w:space="0" w:color="auto"/>
                <w:bottom w:val="none" w:sz="0" w:space="0" w:color="auto"/>
                <w:right w:val="none" w:sz="0" w:space="0" w:color="auto"/>
              </w:divBdr>
            </w:div>
            <w:div w:id="62487024">
              <w:marLeft w:val="0"/>
              <w:marRight w:val="0"/>
              <w:marTop w:val="0"/>
              <w:marBottom w:val="0"/>
              <w:divBdr>
                <w:top w:val="none" w:sz="0" w:space="0" w:color="auto"/>
                <w:left w:val="none" w:sz="0" w:space="0" w:color="auto"/>
                <w:bottom w:val="none" w:sz="0" w:space="0" w:color="auto"/>
                <w:right w:val="none" w:sz="0" w:space="0" w:color="auto"/>
              </w:divBdr>
            </w:div>
            <w:div w:id="76562572">
              <w:marLeft w:val="0"/>
              <w:marRight w:val="0"/>
              <w:marTop w:val="0"/>
              <w:marBottom w:val="0"/>
              <w:divBdr>
                <w:top w:val="none" w:sz="0" w:space="0" w:color="auto"/>
                <w:left w:val="none" w:sz="0" w:space="0" w:color="auto"/>
                <w:bottom w:val="none" w:sz="0" w:space="0" w:color="auto"/>
                <w:right w:val="none" w:sz="0" w:space="0" w:color="auto"/>
              </w:divBdr>
            </w:div>
            <w:div w:id="113521619">
              <w:marLeft w:val="0"/>
              <w:marRight w:val="0"/>
              <w:marTop w:val="0"/>
              <w:marBottom w:val="0"/>
              <w:divBdr>
                <w:top w:val="none" w:sz="0" w:space="0" w:color="auto"/>
                <w:left w:val="none" w:sz="0" w:space="0" w:color="auto"/>
                <w:bottom w:val="none" w:sz="0" w:space="0" w:color="auto"/>
                <w:right w:val="none" w:sz="0" w:space="0" w:color="auto"/>
              </w:divBdr>
            </w:div>
            <w:div w:id="120618904">
              <w:marLeft w:val="0"/>
              <w:marRight w:val="0"/>
              <w:marTop w:val="0"/>
              <w:marBottom w:val="0"/>
              <w:divBdr>
                <w:top w:val="none" w:sz="0" w:space="0" w:color="auto"/>
                <w:left w:val="none" w:sz="0" w:space="0" w:color="auto"/>
                <w:bottom w:val="none" w:sz="0" w:space="0" w:color="auto"/>
                <w:right w:val="none" w:sz="0" w:space="0" w:color="auto"/>
              </w:divBdr>
            </w:div>
            <w:div w:id="209539309">
              <w:marLeft w:val="0"/>
              <w:marRight w:val="0"/>
              <w:marTop w:val="0"/>
              <w:marBottom w:val="0"/>
              <w:divBdr>
                <w:top w:val="none" w:sz="0" w:space="0" w:color="auto"/>
                <w:left w:val="none" w:sz="0" w:space="0" w:color="auto"/>
                <w:bottom w:val="none" w:sz="0" w:space="0" w:color="auto"/>
                <w:right w:val="none" w:sz="0" w:space="0" w:color="auto"/>
              </w:divBdr>
            </w:div>
            <w:div w:id="225645881">
              <w:marLeft w:val="0"/>
              <w:marRight w:val="0"/>
              <w:marTop w:val="0"/>
              <w:marBottom w:val="0"/>
              <w:divBdr>
                <w:top w:val="none" w:sz="0" w:space="0" w:color="auto"/>
                <w:left w:val="none" w:sz="0" w:space="0" w:color="auto"/>
                <w:bottom w:val="none" w:sz="0" w:space="0" w:color="auto"/>
                <w:right w:val="none" w:sz="0" w:space="0" w:color="auto"/>
              </w:divBdr>
            </w:div>
            <w:div w:id="243220709">
              <w:marLeft w:val="0"/>
              <w:marRight w:val="0"/>
              <w:marTop w:val="0"/>
              <w:marBottom w:val="0"/>
              <w:divBdr>
                <w:top w:val="none" w:sz="0" w:space="0" w:color="auto"/>
                <w:left w:val="none" w:sz="0" w:space="0" w:color="auto"/>
                <w:bottom w:val="none" w:sz="0" w:space="0" w:color="auto"/>
                <w:right w:val="none" w:sz="0" w:space="0" w:color="auto"/>
              </w:divBdr>
            </w:div>
            <w:div w:id="264197087">
              <w:marLeft w:val="0"/>
              <w:marRight w:val="0"/>
              <w:marTop w:val="0"/>
              <w:marBottom w:val="0"/>
              <w:divBdr>
                <w:top w:val="none" w:sz="0" w:space="0" w:color="auto"/>
                <w:left w:val="none" w:sz="0" w:space="0" w:color="auto"/>
                <w:bottom w:val="none" w:sz="0" w:space="0" w:color="auto"/>
                <w:right w:val="none" w:sz="0" w:space="0" w:color="auto"/>
              </w:divBdr>
            </w:div>
            <w:div w:id="266890309">
              <w:marLeft w:val="0"/>
              <w:marRight w:val="0"/>
              <w:marTop w:val="0"/>
              <w:marBottom w:val="0"/>
              <w:divBdr>
                <w:top w:val="none" w:sz="0" w:space="0" w:color="auto"/>
                <w:left w:val="none" w:sz="0" w:space="0" w:color="auto"/>
                <w:bottom w:val="none" w:sz="0" w:space="0" w:color="auto"/>
                <w:right w:val="none" w:sz="0" w:space="0" w:color="auto"/>
              </w:divBdr>
            </w:div>
            <w:div w:id="284193600">
              <w:marLeft w:val="0"/>
              <w:marRight w:val="0"/>
              <w:marTop w:val="0"/>
              <w:marBottom w:val="0"/>
              <w:divBdr>
                <w:top w:val="none" w:sz="0" w:space="0" w:color="auto"/>
                <w:left w:val="none" w:sz="0" w:space="0" w:color="auto"/>
                <w:bottom w:val="none" w:sz="0" w:space="0" w:color="auto"/>
                <w:right w:val="none" w:sz="0" w:space="0" w:color="auto"/>
              </w:divBdr>
            </w:div>
            <w:div w:id="284428902">
              <w:marLeft w:val="0"/>
              <w:marRight w:val="0"/>
              <w:marTop w:val="0"/>
              <w:marBottom w:val="0"/>
              <w:divBdr>
                <w:top w:val="none" w:sz="0" w:space="0" w:color="auto"/>
                <w:left w:val="none" w:sz="0" w:space="0" w:color="auto"/>
                <w:bottom w:val="none" w:sz="0" w:space="0" w:color="auto"/>
                <w:right w:val="none" w:sz="0" w:space="0" w:color="auto"/>
              </w:divBdr>
            </w:div>
            <w:div w:id="325206556">
              <w:marLeft w:val="0"/>
              <w:marRight w:val="0"/>
              <w:marTop w:val="0"/>
              <w:marBottom w:val="0"/>
              <w:divBdr>
                <w:top w:val="none" w:sz="0" w:space="0" w:color="auto"/>
                <w:left w:val="none" w:sz="0" w:space="0" w:color="auto"/>
                <w:bottom w:val="none" w:sz="0" w:space="0" w:color="auto"/>
                <w:right w:val="none" w:sz="0" w:space="0" w:color="auto"/>
              </w:divBdr>
            </w:div>
            <w:div w:id="330840884">
              <w:marLeft w:val="0"/>
              <w:marRight w:val="0"/>
              <w:marTop w:val="0"/>
              <w:marBottom w:val="0"/>
              <w:divBdr>
                <w:top w:val="none" w:sz="0" w:space="0" w:color="auto"/>
                <w:left w:val="none" w:sz="0" w:space="0" w:color="auto"/>
                <w:bottom w:val="none" w:sz="0" w:space="0" w:color="auto"/>
                <w:right w:val="none" w:sz="0" w:space="0" w:color="auto"/>
              </w:divBdr>
            </w:div>
            <w:div w:id="364140747">
              <w:marLeft w:val="0"/>
              <w:marRight w:val="0"/>
              <w:marTop w:val="0"/>
              <w:marBottom w:val="0"/>
              <w:divBdr>
                <w:top w:val="none" w:sz="0" w:space="0" w:color="auto"/>
                <w:left w:val="none" w:sz="0" w:space="0" w:color="auto"/>
                <w:bottom w:val="none" w:sz="0" w:space="0" w:color="auto"/>
                <w:right w:val="none" w:sz="0" w:space="0" w:color="auto"/>
              </w:divBdr>
            </w:div>
            <w:div w:id="395203644">
              <w:marLeft w:val="0"/>
              <w:marRight w:val="0"/>
              <w:marTop w:val="0"/>
              <w:marBottom w:val="0"/>
              <w:divBdr>
                <w:top w:val="none" w:sz="0" w:space="0" w:color="auto"/>
                <w:left w:val="none" w:sz="0" w:space="0" w:color="auto"/>
                <w:bottom w:val="none" w:sz="0" w:space="0" w:color="auto"/>
                <w:right w:val="none" w:sz="0" w:space="0" w:color="auto"/>
              </w:divBdr>
            </w:div>
            <w:div w:id="404645663">
              <w:marLeft w:val="0"/>
              <w:marRight w:val="0"/>
              <w:marTop w:val="0"/>
              <w:marBottom w:val="0"/>
              <w:divBdr>
                <w:top w:val="none" w:sz="0" w:space="0" w:color="auto"/>
                <w:left w:val="none" w:sz="0" w:space="0" w:color="auto"/>
                <w:bottom w:val="none" w:sz="0" w:space="0" w:color="auto"/>
                <w:right w:val="none" w:sz="0" w:space="0" w:color="auto"/>
              </w:divBdr>
            </w:div>
            <w:div w:id="435176857">
              <w:marLeft w:val="0"/>
              <w:marRight w:val="0"/>
              <w:marTop w:val="0"/>
              <w:marBottom w:val="0"/>
              <w:divBdr>
                <w:top w:val="none" w:sz="0" w:space="0" w:color="auto"/>
                <w:left w:val="none" w:sz="0" w:space="0" w:color="auto"/>
                <w:bottom w:val="none" w:sz="0" w:space="0" w:color="auto"/>
                <w:right w:val="none" w:sz="0" w:space="0" w:color="auto"/>
              </w:divBdr>
            </w:div>
            <w:div w:id="446310907">
              <w:marLeft w:val="0"/>
              <w:marRight w:val="0"/>
              <w:marTop w:val="0"/>
              <w:marBottom w:val="0"/>
              <w:divBdr>
                <w:top w:val="none" w:sz="0" w:space="0" w:color="auto"/>
                <w:left w:val="none" w:sz="0" w:space="0" w:color="auto"/>
                <w:bottom w:val="none" w:sz="0" w:space="0" w:color="auto"/>
                <w:right w:val="none" w:sz="0" w:space="0" w:color="auto"/>
              </w:divBdr>
            </w:div>
            <w:div w:id="456265275">
              <w:marLeft w:val="0"/>
              <w:marRight w:val="0"/>
              <w:marTop w:val="0"/>
              <w:marBottom w:val="0"/>
              <w:divBdr>
                <w:top w:val="none" w:sz="0" w:space="0" w:color="auto"/>
                <w:left w:val="none" w:sz="0" w:space="0" w:color="auto"/>
                <w:bottom w:val="none" w:sz="0" w:space="0" w:color="auto"/>
                <w:right w:val="none" w:sz="0" w:space="0" w:color="auto"/>
              </w:divBdr>
            </w:div>
            <w:div w:id="483350605">
              <w:marLeft w:val="0"/>
              <w:marRight w:val="0"/>
              <w:marTop w:val="0"/>
              <w:marBottom w:val="0"/>
              <w:divBdr>
                <w:top w:val="none" w:sz="0" w:space="0" w:color="auto"/>
                <w:left w:val="none" w:sz="0" w:space="0" w:color="auto"/>
                <w:bottom w:val="none" w:sz="0" w:space="0" w:color="auto"/>
                <w:right w:val="none" w:sz="0" w:space="0" w:color="auto"/>
              </w:divBdr>
            </w:div>
            <w:div w:id="492840154">
              <w:marLeft w:val="0"/>
              <w:marRight w:val="0"/>
              <w:marTop w:val="0"/>
              <w:marBottom w:val="0"/>
              <w:divBdr>
                <w:top w:val="none" w:sz="0" w:space="0" w:color="auto"/>
                <w:left w:val="none" w:sz="0" w:space="0" w:color="auto"/>
                <w:bottom w:val="none" w:sz="0" w:space="0" w:color="auto"/>
                <w:right w:val="none" w:sz="0" w:space="0" w:color="auto"/>
              </w:divBdr>
            </w:div>
            <w:div w:id="521671464">
              <w:marLeft w:val="0"/>
              <w:marRight w:val="0"/>
              <w:marTop w:val="0"/>
              <w:marBottom w:val="0"/>
              <w:divBdr>
                <w:top w:val="none" w:sz="0" w:space="0" w:color="auto"/>
                <w:left w:val="none" w:sz="0" w:space="0" w:color="auto"/>
                <w:bottom w:val="none" w:sz="0" w:space="0" w:color="auto"/>
                <w:right w:val="none" w:sz="0" w:space="0" w:color="auto"/>
              </w:divBdr>
            </w:div>
            <w:div w:id="524827843">
              <w:marLeft w:val="0"/>
              <w:marRight w:val="0"/>
              <w:marTop w:val="0"/>
              <w:marBottom w:val="0"/>
              <w:divBdr>
                <w:top w:val="none" w:sz="0" w:space="0" w:color="auto"/>
                <w:left w:val="none" w:sz="0" w:space="0" w:color="auto"/>
                <w:bottom w:val="none" w:sz="0" w:space="0" w:color="auto"/>
                <w:right w:val="none" w:sz="0" w:space="0" w:color="auto"/>
              </w:divBdr>
            </w:div>
            <w:div w:id="532420019">
              <w:marLeft w:val="0"/>
              <w:marRight w:val="0"/>
              <w:marTop w:val="0"/>
              <w:marBottom w:val="0"/>
              <w:divBdr>
                <w:top w:val="none" w:sz="0" w:space="0" w:color="auto"/>
                <w:left w:val="none" w:sz="0" w:space="0" w:color="auto"/>
                <w:bottom w:val="none" w:sz="0" w:space="0" w:color="auto"/>
                <w:right w:val="none" w:sz="0" w:space="0" w:color="auto"/>
              </w:divBdr>
            </w:div>
            <w:div w:id="558592112">
              <w:marLeft w:val="0"/>
              <w:marRight w:val="0"/>
              <w:marTop w:val="0"/>
              <w:marBottom w:val="0"/>
              <w:divBdr>
                <w:top w:val="none" w:sz="0" w:space="0" w:color="auto"/>
                <w:left w:val="none" w:sz="0" w:space="0" w:color="auto"/>
                <w:bottom w:val="none" w:sz="0" w:space="0" w:color="auto"/>
                <w:right w:val="none" w:sz="0" w:space="0" w:color="auto"/>
              </w:divBdr>
            </w:div>
            <w:div w:id="642083314">
              <w:marLeft w:val="0"/>
              <w:marRight w:val="0"/>
              <w:marTop w:val="0"/>
              <w:marBottom w:val="0"/>
              <w:divBdr>
                <w:top w:val="none" w:sz="0" w:space="0" w:color="auto"/>
                <w:left w:val="none" w:sz="0" w:space="0" w:color="auto"/>
                <w:bottom w:val="none" w:sz="0" w:space="0" w:color="auto"/>
                <w:right w:val="none" w:sz="0" w:space="0" w:color="auto"/>
              </w:divBdr>
            </w:div>
            <w:div w:id="651642517">
              <w:marLeft w:val="0"/>
              <w:marRight w:val="0"/>
              <w:marTop w:val="0"/>
              <w:marBottom w:val="0"/>
              <w:divBdr>
                <w:top w:val="none" w:sz="0" w:space="0" w:color="auto"/>
                <w:left w:val="none" w:sz="0" w:space="0" w:color="auto"/>
                <w:bottom w:val="none" w:sz="0" w:space="0" w:color="auto"/>
                <w:right w:val="none" w:sz="0" w:space="0" w:color="auto"/>
              </w:divBdr>
            </w:div>
            <w:div w:id="751007432">
              <w:marLeft w:val="0"/>
              <w:marRight w:val="0"/>
              <w:marTop w:val="0"/>
              <w:marBottom w:val="0"/>
              <w:divBdr>
                <w:top w:val="none" w:sz="0" w:space="0" w:color="auto"/>
                <w:left w:val="none" w:sz="0" w:space="0" w:color="auto"/>
                <w:bottom w:val="none" w:sz="0" w:space="0" w:color="auto"/>
                <w:right w:val="none" w:sz="0" w:space="0" w:color="auto"/>
              </w:divBdr>
            </w:div>
            <w:div w:id="779302283">
              <w:marLeft w:val="0"/>
              <w:marRight w:val="0"/>
              <w:marTop w:val="0"/>
              <w:marBottom w:val="0"/>
              <w:divBdr>
                <w:top w:val="none" w:sz="0" w:space="0" w:color="auto"/>
                <w:left w:val="none" w:sz="0" w:space="0" w:color="auto"/>
                <w:bottom w:val="none" w:sz="0" w:space="0" w:color="auto"/>
                <w:right w:val="none" w:sz="0" w:space="0" w:color="auto"/>
              </w:divBdr>
            </w:div>
            <w:div w:id="780877842">
              <w:marLeft w:val="0"/>
              <w:marRight w:val="0"/>
              <w:marTop w:val="0"/>
              <w:marBottom w:val="0"/>
              <w:divBdr>
                <w:top w:val="none" w:sz="0" w:space="0" w:color="auto"/>
                <w:left w:val="none" w:sz="0" w:space="0" w:color="auto"/>
                <w:bottom w:val="none" w:sz="0" w:space="0" w:color="auto"/>
                <w:right w:val="none" w:sz="0" w:space="0" w:color="auto"/>
              </w:divBdr>
            </w:div>
            <w:div w:id="802386784">
              <w:marLeft w:val="0"/>
              <w:marRight w:val="0"/>
              <w:marTop w:val="0"/>
              <w:marBottom w:val="0"/>
              <w:divBdr>
                <w:top w:val="none" w:sz="0" w:space="0" w:color="auto"/>
                <w:left w:val="none" w:sz="0" w:space="0" w:color="auto"/>
                <w:bottom w:val="none" w:sz="0" w:space="0" w:color="auto"/>
                <w:right w:val="none" w:sz="0" w:space="0" w:color="auto"/>
              </w:divBdr>
            </w:div>
            <w:div w:id="815343935">
              <w:marLeft w:val="0"/>
              <w:marRight w:val="0"/>
              <w:marTop w:val="0"/>
              <w:marBottom w:val="0"/>
              <w:divBdr>
                <w:top w:val="none" w:sz="0" w:space="0" w:color="auto"/>
                <w:left w:val="none" w:sz="0" w:space="0" w:color="auto"/>
                <w:bottom w:val="none" w:sz="0" w:space="0" w:color="auto"/>
                <w:right w:val="none" w:sz="0" w:space="0" w:color="auto"/>
              </w:divBdr>
            </w:div>
            <w:div w:id="873613506">
              <w:marLeft w:val="0"/>
              <w:marRight w:val="0"/>
              <w:marTop w:val="0"/>
              <w:marBottom w:val="0"/>
              <w:divBdr>
                <w:top w:val="none" w:sz="0" w:space="0" w:color="auto"/>
                <w:left w:val="none" w:sz="0" w:space="0" w:color="auto"/>
                <w:bottom w:val="none" w:sz="0" w:space="0" w:color="auto"/>
                <w:right w:val="none" w:sz="0" w:space="0" w:color="auto"/>
              </w:divBdr>
            </w:div>
            <w:div w:id="907763554">
              <w:marLeft w:val="0"/>
              <w:marRight w:val="0"/>
              <w:marTop w:val="0"/>
              <w:marBottom w:val="0"/>
              <w:divBdr>
                <w:top w:val="none" w:sz="0" w:space="0" w:color="auto"/>
                <w:left w:val="none" w:sz="0" w:space="0" w:color="auto"/>
                <w:bottom w:val="none" w:sz="0" w:space="0" w:color="auto"/>
                <w:right w:val="none" w:sz="0" w:space="0" w:color="auto"/>
              </w:divBdr>
            </w:div>
            <w:div w:id="928656131">
              <w:marLeft w:val="0"/>
              <w:marRight w:val="0"/>
              <w:marTop w:val="0"/>
              <w:marBottom w:val="0"/>
              <w:divBdr>
                <w:top w:val="none" w:sz="0" w:space="0" w:color="auto"/>
                <w:left w:val="none" w:sz="0" w:space="0" w:color="auto"/>
                <w:bottom w:val="none" w:sz="0" w:space="0" w:color="auto"/>
                <w:right w:val="none" w:sz="0" w:space="0" w:color="auto"/>
              </w:divBdr>
            </w:div>
            <w:div w:id="935752409">
              <w:marLeft w:val="0"/>
              <w:marRight w:val="0"/>
              <w:marTop w:val="0"/>
              <w:marBottom w:val="0"/>
              <w:divBdr>
                <w:top w:val="none" w:sz="0" w:space="0" w:color="auto"/>
                <w:left w:val="none" w:sz="0" w:space="0" w:color="auto"/>
                <w:bottom w:val="none" w:sz="0" w:space="0" w:color="auto"/>
                <w:right w:val="none" w:sz="0" w:space="0" w:color="auto"/>
              </w:divBdr>
            </w:div>
            <w:div w:id="948119511">
              <w:marLeft w:val="0"/>
              <w:marRight w:val="0"/>
              <w:marTop w:val="0"/>
              <w:marBottom w:val="0"/>
              <w:divBdr>
                <w:top w:val="none" w:sz="0" w:space="0" w:color="auto"/>
                <w:left w:val="none" w:sz="0" w:space="0" w:color="auto"/>
                <w:bottom w:val="none" w:sz="0" w:space="0" w:color="auto"/>
                <w:right w:val="none" w:sz="0" w:space="0" w:color="auto"/>
              </w:divBdr>
            </w:div>
            <w:div w:id="984243654">
              <w:marLeft w:val="0"/>
              <w:marRight w:val="0"/>
              <w:marTop w:val="0"/>
              <w:marBottom w:val="0"/>
              <w:divBdr>
                <w:top w:val="none" w:sz="0" w:space="0" w:color="auto"/>
                <w:left w:val="none" w:sz="0" w:space="0" w:color="auto"/>
                <w:bottom w:val="none" w:sz="0" w:space="0" w:color="auto"/>
                <w:right w:val="none" w:sz="0" w:space="0" w:color="auto"/>
              </w:divBdr>
            </w:div>
            <w:div w:id="989096848">
              <w:marLeft w:val="0"/>
              <w:marRight w:val="0"/>
              <w:marTop w:val="0"/>
              <w:marBottom w:val="0"/>
              <w:divBdr>
                <w:top w:val="none" w:sz="0" w:space="0" w:color="auto"/>
                <w:left w:val="none" w:sz="0" w:space="0" w:color="auto"/>
                <w:bottom w:val="none" w:sz="0" w:space="0" w:color="auto"/>
                <w:right w:val="none" w:sz="0" w:space="0" w:color="auto"/>
              </w:divBdr>
            </w:div>
            <w:div w:id="1011101002">
              <w:marLeft w:val="0"/>
              <w:marRight w:val="0"/>
              <w:marTop w:val="0"/>
              <w:marBottom w:val="0"/>
              <w:divBdr>
                <w:top w:val="none" w:sz="0" w:space="0" w:color="auto"/>
                <w:left w:val="none" w:sz="0" w:space="0" w:color="auto"/>
                <w:bottom w:val="none" w:sz="0" w:space="0" w:color="auto"/>
                <w:right w:val="none" w:sz="0" w:space="0" w:color="auto"/>
              </w:divBdr>
            </w:div>
            <w:div w:id="1014575221">
              <w:marLeft w:val="0"/>
              <w:marRight w:val="0"/>
              <w:marTop w:val="0"/>
              <w:marBottom w:val="0"/>
              <w:divBdr>
                <w:top w:val="none" w:sz="0" w:space="0" w:color="auto"/>
                <w:left w:val="none" w:sz="0" w:space="0" w:color="auto"/>
                <w:bottom w:val="none" w:sz="0" w:space="0" w:color="auto"/>
                <w:right w:val="none" w:sz="0" w:space="0" w:color="auto"/>
              </w:divBdr>
            </w:div>
            <w:div w:id="1091971877">
              <w:marLeft w:val="0"/>
              <w:marRight w:val="0"/>
              <w:marTop w:val="0"/>
              <w:marBottom w:val="0"/>
              <w:divBdr>
                <w:top w:val="none" w:sz="0" w:space="0" w:color="auto"/>
                <w:left w:val="none" w:sz="0" w:space="0" w:color="auto"/>
                <w:bottom w:val="none" w:sz="0" w:space="0" w:color="auto"/>
                <w:right w:val="none" w:sz="0" w:space="0" w:color="auto"/>
              </w:divBdr>
            </w:div>
            <w:div w:id="1105996770">
              <w:marLeft w:val="0"/>
              <w:marRight w:val="0"/>
              <w:marTop w:val="0"/>
              <w:marBottom w:val="0"/>
              <w:divBdr>
                <w:top w:val="none" w:sz="0" w:space="0" w:color="auto"/>
                <w:left w:val="none" w:sz="0" w:space="0" w:color="auto"/>
                <w:bottom w:val="none" w:sz="0" w:space="0" w:color="auto"/>
                <w:right w:val="none" w:sz="0" w:space="0" w:color="auto"/>
              </w:divBdr>
            </w:div>
            <w:div w:id="1133132142">
              <w:marLeft w:val="0"/>
              <w:marRight w:val="0"/>
              <w:marTop w:val="0"/>
              <w:marBottom w:val="0"/>
              <w:divBdr>
                <w:top w:val="none" w:sz="0" w:space="0" w:color="auto"/>
                <w:left w:val="none" w:sz="0" w:space="0" w:color="auto"/>
                <w:bottom w:val="none" w:sz="0" w:space="0" w:color="auto"/>
                <w:right w:val="none" w:sz="0" w:space="0" w:color="auto"/>
              </w:divBdr>
            </w:div>
            <w:div w:id="1156799971">
              <w:marLeft w:val="0"/>
              <w:marRight w:val="0"/>
              <w:marTop w:val="0"/>
              <w:marBottom w:val="0"/>
              <w:divBdr>
                <w:top w:val="none" w:sz="0" w:space="0" w:color="auto"/>
                <w:left w:val="none" w:sz="0" w:space="0" w:color="auto"/>
                <w:bottom w:val="none" w:sz="0" w:space="0" w:color="auto"/>
                <w:right w:val="none" w:sz="0" w:space="0" w:color="auto"/>
              </w:divBdr>
            </w:div>
            <w:div w:id="1160775227">
              <w:marLeft w:val="0"/>
              <w:marRight w:val="0"/>
              <w:marTop w:val="0"/>
              <w:marBottom w:val="0"/>
              <w:divBdr>
                <w:top w:val="none" w:sz="0" w:space="0" w:color="auto"/>
                <w:left w:val="none" w:sz="0" w:space="0" w:color="auto"/>
                <w:bottom w:val="none" w:sz="0" w:space="0" w:color="auto"/>
                <w:right w:val="none" w:sz="0" w:space="0" w:color="auto"/>
              </w:divBdr>
            </w:div>
            <w:div w:id="1179008904">
              <w:marLeft w:val="0"/>
              <w:marRight w:val="0"/>
              <w:marTop w:val="0"/>
              <w:marBottom w:val="0"/>
              <w:divBdr>
                <w:top w:val="none" w:sz="0" w:space="0" w:color="auto"/>
                <w:left w:val="none" w:sz="0" w:space="0" w:color="auto"/>
                <w:bottom w:val="none" w:sz="0" w:space="0" w:color="auto"/>
                <w:right w:val="none" w:sz="0" w:space="0" w:color="auto"/>
              </w:divBdr>
            </w:div>
            <w:div w:id="1207643564">
              <w:marLeft w:val="0"/>
              <w:marRight w:val="0"/>
              <w:marTop w:val="0"/>
              <w:marBottom w:val="0"/>
              <w:divBdr>
                <w:top w:val="none" w:sz="0" w:space="0" w:color="auto"/>
                <w:left w:val="none" w:sz="0" w:space="0" w:color="auto"/>
                <w:bottom w:val="none" w:sz="0" w:space="0" w:color="auto"/>
                <w:right w:val="none" w:sz="0" w:space="0" w:color="auto"/>
              </w:divBdr>
            </w:div>
            <w:div w:id="1236283546">
              <w:marLeft w:val="0"/>
              <w:marRight w:val="0"/>
              <w:marTop w:val="0"/>
              <w:marBottom w:val="0"/>
              <w:divBdr>
                <w:top w:val="none" w:sz="0" w:space="0" w:color="auto"/>
                <w:left w:val="none" w:sz="0" w:space="0" w:color="auto"/>
                <w:bottom w:val="none" w:sz="0" w:space="0" w:color="auto"/>
                <w:right w:val="none" w:sz="0" w:space="0" w:color="auto"/>
              </w:divBdr>
            </w:div>
            <w:div w:id="1272592279">
              <w:marLeft w:val="0"/>
              <w:marRight w:val="0"/>
              <w:marTop w:val="0"/>
              <w:marBottom w:val="0"/>
              <w:divBdr>
                <w:top w:val="none" w:sz="0" w:space="0" w:color="auto"/>
                <w:left w:val="none" w:sz="0" w:space="0" w:color="auto"/>
                <w:bottom w:val="none" w:sz="0" w:space="0" w:color="auto"/>
                <w:right w:val="none" w:sz="0" w:space="0" w:color="auto"/>
              </w:divBdr>
            </w:div>
            <w:div w:id="1284533311">
              <w:marLeft w:val="0"/>
              <w:marRight w:val="0"/>
              <w:marTop w:val="0"/>
              <w:marBottom w:val="0"/>
              <w:divBdr>
                <w:top w:val="none" w:sz="0" w:space="0" w:color="auto"/>
                <w:left w:val="none" w:sz="0" w:space="0" w:color="auto"/>
                <w:bottom w:val="none" w:sz="0" w:space="0" w:color="auto"/>
                <w:right w:val="none" w:sz="0" w:space="0" w:color="auto"/>
              </w:divBdr>
            </w:div>
            <w:div w:id="1317537292">
              <w:marLeft w:val="0"/>
              <w:marRight w:val="0"/>
              <w:marTop w:val="0"/>
              <w:marBottom w:val="0"/>
              <w:divBdr>
                <w:top w:val="none" w:sz="0" w:space="0" w:color="auto"/>
                <w:left w:val="none" w:sz="0" w:space="0" w:color="auto"/>
                <w:bottom w:val="none" w:sz="0" w:space="0" w:color="auto"/>
                <w:right w:val="none" w:sz="0" w:space="0" w:color="auto"/>
              </w:divBdr>
            </w:div>
            <w:div w:id="1323240692">
              <w:marLeft w:val="0"/>
              <w:marRight w:val="0"/>
              <w:marTop w:val="0"/>
              <w:marBottom w:val="0"/>
              <w:divBdr>
                <w:top w:val="none" w:sz="0" w:space="0" w:color="auto"/>
                <w:left w:val="none" w:sz="0" w:space="0" w:color="auto"/>
                <w:bottom w:val="none" w:sz="0" w:space="0" w:color="auto"/>
                <w:right w:val="none" w:sz="0" w:space="0" w:color="auto"/>
              </w:divBdr>
            </w:div>
            <w:div w:id="1323772803">
              <w:marLeft w:val="0"/>
              <w:marRight w:val="0"/>
              <w:marTop w:val="0"/>
              <w:marBottom w:val="0"/>
              <w:divBdr>
                <w:top w:val="none" w:sz="0" w:space="0" w:color="auto"/>
                <w:left w:val="none" w:sz="0" w:space="0" w:color="auto"/>
                <w:bottom w:val="none" w:sz="0" w:space="0" w:color="auto"/>
                <w:right w:val="none" w:sz="0" w:space="0" w:color="auto"/>
              </w:divBdr>
            </w:div>
            <w:div w:id="1340816163">
              <w:marLeft w:val="0"/>
              <w:marRight w:val="0"/>
              <w:marTop w:val="0"/>
              <w:marBottom w:val="0"/>
              <w:divBdr>
                <w:top w:val="none" w:sz="0" w:space="0" w:color="auto"/>
                <w:left w:val="none" w:sz="0" w:space="0" w:color="auto"/>
                <w:bottom w:val="none" w:sz="0" w:space="0" w:color="auto"/>
                <w:right w:val="none" w:sz="0" w:space="0" w:color="auto"/>
              </w:divBdr>
            </w:div>
            <w:div w:id="1355037278">
              <w:marLeft w:val="0"/>
              <w:marRight w:val="0"/>
              <w:marTop w:val="0"/>
              <w:marBottom w:val="0"/>
              <w:divBdr>
                <w:top w:val="none" w:sz="0" w:space="0" w:color="auto"/>
                <w:left w:val="none" w:sz="0" w:space="0" w:color="auto"/>
                <w:bottom w:val="none" w:sz="0" w:space="0" w:color="auto"/>
                <w:right w:val="none" w:sz="0" w:space="0" w:color="auto"/>
              </w:divBdr>
            </w:div>
            <w:div w:id="1371565135">
              <w:marLeft w:val="0"/>
              <w:marRight w:val="0"/>
              <w:marTop w:val="0"/>
              <w:marBottom w:val="0"/>
              <w:divBdr>
                <w:top w:val="none" w:sz="0" w:space="0" w:color="auto"/>
                <w:left w:val="none" w:sz="0" w:space="0" w:color="auto"/>
                <w:bottom w:val="none" w:sz="0" w:space="0" w:color="auto"/>
                <w:right w:val="none" w:sz="0" w:space="0" w:color="auto"/>
              </w:divBdr>
            </w:div>
            <w:div w:id="1398434727">
              <w:marLeft w:val="0"/>
              <w:marRight w:val="0"/>
              <w:marTop w:val="0"/>
              <w:marBottom w:val="0"/>
              <w:divBdr>
                <w:top w:val="none" w:sz="0" w:space="0" w:color="auto"/>
                <w:left w:val="none" w:sz="0" w:space="0" w:color="auto"/>
                <w:bottom w:val="none" w:sz="0" w:space="0" w:color="auto"/>
                <w:right w:val="none" w:sz="0" w:space="0" w:color="auto"/>
              </w:divBdr>
            </w:div>
            <w:div w:id="1403525067">
              <w:marLeft w:val="0"/>
              <w:marRight w:val="0"/>
              <w:marTop w:val="0"/>
              <w:marBottom w:val="0"/>
              <w:divBdr>
                <w:top w:val="none" w:sz="0" w:space="0" w:color="auto"/>
                <w:left w:val="none" w:sz="0" w:space="0" w:color="auto"/>
                <w:bottom w:val="none" w:sz="0" w:space="0" w:color="auto"/>
                <w:right w:val="none" w:sz="0" w:space="0" w:color="auto"/>
              </w:divBdr>
            </w:div>
            <w:div w:id="1409183886">
              <w:marLeft w:val="0"/>
              <w:marRight w:val="0"/>
              <w:marTop w:val="0"/>
              <w:marBottom w:val="0"/>
              <w:divBdr>
                <w:top w:val="none" w:sz="0" w:space="0" w:color="auto"/>
                <w:left w:val="none" w:sz="0" w:space="0" w:color="auto"/>
                <w:bottom w:val="none" w:sz="0" w:space="0" w:color="auto"/>
                <w:right w:val="none" w:sz="0" w:space="0" w:color="auto"/>
              </w:divBdr>
            </w:div>
            <w:div w:id="1518034283">
              <w:marLeft w:val="0"/>
              <w:marRight w:val="0"/>
              <w:marTop w:val="0"/>
              <w:marBottom w:val="0"/>
              <w:divBdr>
                <w:top w:val="none" w:sz="0" w:space="0" w:color="auto"/>
                <w:left w:val="none" w:sz="0" w:space="0" w:color="auto"/>
                <w:bottom w:val="none" w:sz="0" w:space="0" w:color="auto"/>
                <w:right w:val="none" w:sz="0" w:space="0" w:color="auto"/>
              </w:divBdr>
            </w:div>
            <w:div w:id="1712606197">
              <w:marLeft w:val="0"/>
              <w:marRight w:val="0"/>
              <w:marTop w:val="0"/>
              <w:marBottom w:val="0"/>
              <w:divBdr>
                <w:top w:val="none" w:sz="0" w:space="0" w:color="auto"/>
                <w:left w:val="none" w:sz="0" w:space="0" w:color="auto"/>
                <w:bottom w:val="none" w:sz="0" w:space="0" w:color="auto"/>
                <w:right w:val="none" w:sz="0" w:space="0" w:color="auto"/>
              </w:divBdr>
            </w:div>
            <w:div w:id="1720859593">
              <w:marLeft w:val="0"/>
              <w:marRight w:val="0"/>
              <w:marTop w:val="0"/>
              <w:marBottom w:val="0"/>
              <w:divBdr>
                <w:top w:val="none" w:sz="0" w:space="0" w:color="auto"/>
                <w:left w:val="none" w:sz="0" w:space="0" w:color="auto"/>
                <w:bottom w:val="none" w:sz="0" w:space="0" w:color="auto"/>
                <w:right w:val="none" w:sz="0" w:space="0" w:color="auto"/>
              </w:divBdr>
            </w:div>
            <w:div w:id="1733775571">
              <w:marLeft w:val="0"/>
              <w:marRight w:val="0"/>
              <w:marTop w:val="0"/>
              <w:marBottom w:val="0"/>
              <w:divBdr>
                <w:top w:val="none" w:sz="0" w:space="0" w:color="auto"/>
                <w:left w:val="none" w:sz="0" w:space="0" w:color="auto"/>
                <w:bottom w:val="none" w:sz="0" w:space="0" w:color="auto"/>
                <w:right w:val="none" w:sz="0" w:space="0" w:color="auto"/>
              </w:divBdr>
            </w:div>
            <w:div w:id="1755201469">
              <w:marLeft w:val="0"/>
              <w:marRight w:val="0"/>
              <w:marTop w:val="0"/>
              <w:marBottom w:val="0"/>
              <w:divBdr>
                <w:top w:val="none" w:sz="0" w:space="0" w:color="auto"/>
                <w:left w:val="none" w:sz="0" w:space="0" w:color="auto"/>
                <w:bottom w:val="none" w:sz="0" w:space="0" w:color="auto"/>
                <w:right w:val="none" w:sz="0" w:space="0" w:color="auto"/>
              </w:divBdr>
            </w:div>
            <w:div w:id="1762681788">
              <w:marLeft w:val="0"/>
              <w:marRight w:val="0"/>
              <w:marTop w:val="0"/>
              <w:marBottom w:val="0"/>
              <w:divBdr>
                <w:top w:val="none" w:sz="0" w:space="0" w:color="auto"/>
                <w:left w:val="none" w:sz="0" w:space="0" w:color="auto"/>
                <w:bottom w:val="none" w:sz="0" w:space="0" w:color="auto"/>
                <w:right w:val="none" w:sz="0" w:space="0" w:color="auto"/>
              </w:divBdr>
            </w:div>
            <w:div w:id="1785423522">
              <w:marLeft w:val="0"/>
              <w:marRight w:val="0"/>
              <w:marTop w:val="0"/>
              <w:marBottom w:val="0"/>
              <w:divBdr>
                <w:top w:val="none" w:sz="0" w:space="0" w:color="auto"/>
                <w:left w:val="none" w:sz="0" w:space="0" w:color="auto"/>
                <w:bottom w:val="none" w:sz="0" w:space="0" w:color="auto"/>
                <w:right w:val="none" w:sz="0" w:space="0" w:color="auto"/>
              </w:divBdr>
            </w:div>
            <w:div w:id="1842550142">
              <w:marLeft w:val="0"/>
              <w:marRight w:val="0"/>
              <w:marTop w:val="0"/>
              <w:marBottom w:val="0"/>
              <w:divBdr>
                <w:top w:val="none" w:sz="0" w:space="0" w:color="auto"/>
                <w:left w:val="none" w:sz="0" w:space="0" w:color="auto"/>
                <w:bottom w:val="none" w:sz="0" w:space="0" w:color="auto"/>
                <w:right w:val="none" w:sz="0" w:space="0" w:color="auto"/>
              </w:divBdr>
            </w:div>
            <w:div w:id="1895121983">
              <w:marLeft w:val="0"/>
              <w:marRight w:val="0"/>
              <w:marTop w:val="0"/>
              <w:marBottom w:val="0"/>
              <w:divBdr>
                <w:top w:val="none" w:sz="0" w:space="0" w:color="auto"/>
                <w:left w:val="none" w:sz="0" w:space="0" w:color="auto"/>
                <w:bottom w:val="none" w:sz="0" w:space="0" w:color="auto"/>
                <w:right w:val="none" w:sz="0" w:space="0" w:color="auto"/>
              </w:divBdr>
            </w:div>
            <w:div w:id="1922519247">
              <w:marLeft w:val="0"/>
              <w:marRight w:val="0"/>
              <w:marTop w:val="0"/>
              <w:marBottom w:val="0"/>
              <w:divBdr>
                <w:top w:val="none" w:sz="0" w:space="0" w:color="auto"/>
                <w:left w:val="none" w:sz="0" w:space="0" w:color="auto"/>
                <w:bottom w:val="none" w:sz="0" w:space="0" w:color="auto"/>
                <w:right w:val="none" w:sz="0" w:space="0" w:color="auto"/>
              </w:divBdr>
            </w:div>
            <w:div w:id="1979070925">
              <w:marLeft w:val="0"/>
              <w:marRight w:val="0"/>
              <w:marTop w:val="0"/>
              <w:marBottom w:val="0"/>
              <w:divBdr>
                <w:top w:val="none" w:sz="0" w:space="0" w:color="auto"/>
                <w:left w:val="none" w:sz="0" w:space="0" w:color="auto"/>
                <w:bottom w:val="none" w:sz="0" w:space="0" w:color="auto"/>
                <w:right w:val="none" w:sz="0" w:space="0" w:color="auto"/>
              </w:divBdr>
            </w:div>
            <w:div w:id="2030371368">
              <w:marLeft w:val="0"/>
              <w:marRight w:val="0"/>
              <w:marTop w:val="0"/>
              <w:marBottom w:val="0"/>
              <w:divBdr>
                <w:top w:val="none" w:sz="0" w:space="0" w:color="auto"/>
                <w:left w:val="none" w:sz="0" w:space="0" w:color="auto"/>
                <w:bottom w:val="none" w:sz="0" w:space="0" w:color="auto"/>
                <w:right w:val="none" w:sz="0" w:space="0" w:color="auto"/>
              </w:divBdr>
            </w:div>
            <w:div w:id="2070685016">
              <w:marLeft w:val="0"/>
              <w:marRight w:val="0"/>
              <w:marTop w:val="0"/>
              <w:marBottom w:val="0"/>
              <w:divBdr>
                <w:top w:val="none" w:sz="0" w:space="0" w:color="auto"/>
                <w:left w:val="none" w:sz="0" w:space="0" w:color="auto"/>
                <w:bottom w:val="none" w:sz="0" w:space="0" w:color="auto"/>
                <w:right w:val="none" w:sz="0" w:space="0" w:color="auto"/>
              </w:divBdr>
            </w:div>
            <w:div w:id="214245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emf"/><Relationship Id="rId18" Type="http://schemas.openxmlformats.org/officeDocument/2006/relationships/hyperlink" Target="https://doi.org/10.1029/2021JF006366" TargetMode="External"/><Relationship Id="rId26" Type="http://schemas.openxmlformats.org/officeDocument/2006/relationships/hyperlink" Target="https://doi.org/10.1111/ggr.12441" TargetMode="External"/><Relationship Id="rId21" Type="http://schemas.openxmlformats.org/officeDocument/2006/relationships/hyperlink" Target="https://doi.org/10.1038/s41561-021-00829-7" TargetMode="External"/><Relationship Id="rId34" Type="http://schemas.openxmlformats.org/officeDocument/2006/relationships/hyperlink" Target="https://doi.org/10.1180/claymin.1962.5.27.05" TargetMode="Externa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hyperlink" Target="https://doi.org/10.1038/s41561-022-01009-x" TargetMode="External"/><Relationship Id="rId25" Type="http://schemas.openxmlformats.org/officeDocument/2006/relationships/hyperlink" Target="https://doi.org/10.1016/j.precamres.2021.106279" TargetMode="External"/><Relationship Id="rId33" Type="http://schemas.openxmlformats.org/officeDocument/2006/relationships/hyperlink" Target="https://doi.org/10.1126/sciadv.adk2152"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i.org/10.5194/gmd-14-4187-2021" TargetMode="External"/><Relationship Id="rId20" Type="http://schemas.openxmlformats.org/officeDocument/2006/relationships/hyperlink" Target="https://doi.org/10.1130/G38671.1" TargetMode="External"/><Relationship Id="rId29" Type="http://schemas.openxmlformats.org/officeDocument/2006/relationships/hyperlink" Target="https://doi.org/10.2138/gselements.16.4.25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hyperlink" Target="https://doi.org/10.1016/j.gca.2020.01.021" TargetMode="External"/><Relationship Id="rId32" Type="http://schemas.openxmlformats.org/officeDocument/2006/relationships/hyperlink" Target="https://doi.org/10.1016/j.epsl.2020.116244"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yperlink" Target="https://doi.org/10.1038/s41586-021-03612-1" TargetMode="External"/><Relationship Id="rId28" Type="http://schemas.openxmlformats.org/officeDocument/2006/relationships/hyperlink" Target="https://doi.org/10.1016/j.gca.2011.10.038" TargetMode="External"/><Relationship Id="rId36" Type="http://schemas.openxmlformats.org/officeDocument/2006/relationships/footer" Target="footer2.xml"/><Relationship Id="rId10" Type="http://schemas.openxmlformats.org/officeDocument/2006/relationships/image" Target="media/image4.emf"/><Relationship Id="rId19" Type="http://schemas.openxmlformats.org/officeDocument/2006/relationships/hyperlink" Target="https://doi.org/10.1021/es801814v" TargetMode="External"/><Relationship Id="rId31" Type="http://schemas.openxmlformats.org/officeDocument/2006/relationships/hyperlink" Target="https://doi.org/10.1016/j.precamres.2024.107527" TargetMode="Externa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hyperlink" Target="https://doi.org/10.1130/0091-7613(2002)030%3c0371:FORBIC%3e2.0.CO;2" TargetMode="External"/><Relationship Id="rId27" Type="http://schemas.openxmlformats.org/officeDocument/2006/relationships/hyperlink" Target="https://doi.org/10.1016/0016-7037(84)90229-1" TargetMode="External"/><Relationship Id="rId30" Type="http://schemas.openxmlformats.org/officeDocument/2006/relationships/hyperlink" Target="https://doi.org/10.1073/pnas.2318860121" TargetMode="External"/><Relationship Id="rId35" Type="http://schemas.openxmlformats.org/officeDocument/2006/relationships/footer" Target="footer1.xml"/><Relationship Id="rId8" Type="http://schemas.openxmlformats.org/officeDocument/2006/relationships/image" Target="media/image2.emf"/><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3649</Words>
  <Characters>20802</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V Lau</dc:creator>
  <cp:keywords/>
  <dc:description/>
  <cp:lastModifiedBy>Lau, Kimberly</cp:lastModifiedBy>
  <cp:revision>3</cp:revision>
  <cp:lastPrinted>2024-08-09T13:47:00Z</cp:lastPrinted>
  <dcterms:created xsi:type="dcterms:W3CDTF">2025-11-18T20:19:00Z</dcterms:created>
  <dcterms:modified xsi:type="dcterms:W3CDTF">2025-11-19T03:05:00Z</dcterms:modified>
</cp:coreProperties>
</file>